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33D" w:rsidRPr="007B7464" w:rsidRDefault="00134EC4" w:rsidP="00D44011">
      <w:pPr>
        <w:pStyle w:val="Titre1"/>
        <w:numPr>
          <w:ilvl w:val="0"/>
          <w:numId w:val="0"/>
        </w:numPr>
        <w:rPr>
          <w:sz w:val="72"/>
          <w:szCs w:val="72"/>
        </w:rPr>
      </w:pPr>
      <w:bookmarkStart w:id="0" w:name="_Toc233445386"/>
      <w:bookmarkStart w:id="1" w:name="_Toc233450915"/>
      <w:bookmarkStart w:id="2" w:name="_Toc233451033"/>
      <w:bookmarkStart w:id="3" w:name="_Toc234048278"/>
      <w:bookmarkStart w:id="4" w:name="_Toc238446632"/>
      <w:bookmarkStart w:id="5" w:name="_Toc238446633"/>
      <w:bookmarkStart w:id="6" w:name="_GoBack"/>
      <w:bookmarkEnd w:id="6"/>
      <w:proofErr w:type="gramStart"/>
      <w:r w:rsidRPr="007B7464">
        <w:rPr>
          <w:sz w:val="72"/>
          <w:szCs w:val="72"/>
        </w:rPr>
        <w:t>annexe</w:t>
      </w:r>
      <w:proofErr w:type="gramEnd"/>
      <w:r w:rsidRPr="007B7464">
        <w:rPr>
          <w:sz w:val="72"/>
          <w:szCs w:val="72"/>
        </w:rPr>
        <w:t xml:space="preserve"> </w:t>
      </w:r>
      <w:r w:rsidR="0076636B" w:rsidRPr="007B7464">
        <w:rPr>
          <w:sz w:val="72"/>
          <w:szCs w:val="72"/>
        </w:rPr>
        <w:t>2</w:t>
      </w:r>
      <w:r w:rsidR="002B533D" w:rsidRPr="007B7464">
        <w:rPr>
          <w:sz w:val="72"/>
          <w:szCs w:val="72"/>
        </w:rPr>
        <w:t xml:space="preserve"> - </w:t>
      </w:r>
      <w:bookmarkEnd w:id="0"/>
      <w:r w:rsidR="002B533D" w:rsidRPr="007B7464">
        <w:rPr>
          <w:sz w:val="72"/>
          <w:szCs w:val="72"/>
        </w:rPr>
        <w:t>p</w:t>
      </w:r>
      <w:bookmarkEnd w:id="1"/>
      <w:bookmarkEnd w:id="2"/>
      <w:bookmarkEnd w:id="3"/>
      <w:bookmarkEnd w:id="4"/>
      <w:bookmarkEnd w:id="5"/>
      <w:r w:rsidR="0076636B" w:rsidRPr="007B7464">
        <w:rPr>
          <w:sz w:val="72"/>
          <w:szCs w:val="72"/>
        </w:rPr>
        <w:t>énalités</w:t>
      </w:r>
    </w:p>
    <w:p w:rsidR="00B371C2" w:rsidRPr="007B7464" w:rsidRDefault="00B371C2" w:rsidP="00E701B0">
      <w:pPr>
        <w:pStyle w:val="Nomduproduit"/>
        <w:jc w:val="both"/>
        <w:rPr>
          <w:rFonts w:cs="Arial"/>
        </w:rPr>
      </w:pPr>
      <w:r w:rsidRPr="007B7464">
        <w:rPr>
          <w:rFonts w:cs="Arial"/>
        </w:rPr>
        <w:t xml:space="preserve">Service de location de fibre </w:t>
      </w:r>
      <w:r w:rsidR="00E701B0" w:rsidRPr="007B7464">
        <w:rPr>
          <w:rFonts w:cs="Arial"/>
        </w:rPr>
        <w:t>optique passive</w:t>
      </w:r>
      <w:r w:rsidR="001A4F1D" w:rsidRPr="007B7464">
        <w:rPr>
          <w:rFonts w:cs="Arial"/>
        </w:rPr>
        <w:t xml:space="preserve"> </w:t>
      </w:r>
      <w:r w:rsidR="00D366C4" w:rsidRPr="007B7464">
        <w:rPr>
          <w:rFonts w:cs="Arial"/>
        </w:rPr>
        <w:t>point à point</w:t>
      </w:r>
    </w:p>
    <w:p w:rsidR="00084B82" w:rsidRPr="00F96DFF" w:rsidRDefault="00084B82" w:rsidP="00084B82">
      <w:pPr>
        <w:rPr>
          <w:rStyle w:val="StyleHelvetica55Roman20ptnoir"/>
          <w:rFonts w:cs="Arial"/>
          <w:sz w:val="24"/>
        </w:rPr>
      </w:pPr>
    </w:p>
    <w:p w:rsidR="0076636B" w:rsidRPr="007B7464" w:rsidRDefault="0076636B" w:rsidP="0076636B">
      <w:pPr>
        <w:jc w:val="both"/>
        <w:rPr>
          <w:rFonts w:cs="Arial"/>
          <w:szCs w:val="20"/>
        </w:rPr>
      </w:pPr>
      <w:r w:rsidRPr="007B7464">
        <w:rPr>
          <w:rFonts w:cs="Arial"/>
          <w:szCs w:val="20"/>
        </w:rPr>
        <w:t>Tous les montants mentionnés dans la présente annexe sont exprimés en euros hors taxe et n’entrent pas dans le champ d’application de la TVA. Ils sont applicables à la date de signature du Contrat.</w:t>
      </w:r>
    </w:p>
    <w:p w:rsidR="0076636B" w:rsidRPr="007B7464" w:rsidRDefault="0076636B" w:rsidP="0076636B">
      <w:pPr>
        <w:jc w:val="both"/>
        <w:rPr>
          <w:rFonts w:cs="Arial"/>
          <w:szCs w:val="20"/>
        </w:rPr>
      </w:pPr>
    </w:p>
    <w:p w:rsidR="0076636B" w:rsidRPr="007B7464" w:rsidRDefault="0076636B" w:rsidP="0076636B">
      <w:pPr>
        <w:jc w:val="both"/>
        <w:rPr>
          <w:rFonts w:cs="Arial"/>
          <w:szCs w:val="20"/>
        </w:rPr>
      </w:pPr>
    </w:p>
    <w:p w:rsidR="0076636B" w:rsidRPr="007B7464" w:rsidRDefault="0076636B" w:rsidP="0076636B">
      <w:pPr>
        <w:jc w:val="both"/>
        <w:rPr>
          <w:rFonts w:cs="Arial"/>
          <w:szCs w:val="20"/>
        </w:rPr>
      </w:pPr>
    </w:p>
    <w:p w:rsidR="0076636B" w:rsidRPr="007B7464" w:rsidRDefault="0076636B" w:rsidP="0076636B">
      <w:pPr>
        <w:pStyle w:val="Paragraphedeliste"/>
        <w:numPr>
          <w:ilvl w:val="0"/>
          <w:numId w:val="14"/>
        </w:numPr>
        <w:rPr>
          <w:rFonts w:ascii="Helvetica 55 Roman" w:hAnsi="Helvetica 55 Roman" w:cs="Arial"/>
          <w:b/>
          <w:sz w:val="28"/>
          <w:szCs w:val="28"/>
        </w:rPr>
      </w:pPr>
      <w:bookmarkStart w:id="7" w:name="_Toc364091765"/>
      <w:bookmarkStart w:id="8" w:name="_Toc364091854"/>
      <w:r w:rsidRPr="007B7464">
        <w:rPr>
          <w:rFonts w:ascii="Helvetica 55 Roman" w:hAnsi="Helvetica 55 Roman" w:cs="Arial"/>
          <w:b/>
          <w:sz w:val="28"/>
          <w:szCs w:val="28"/>
        </w:rPr>
        <w:t xml:space="preserve">Pénalités pouvant être dues par l’Usager </w:t>
      </w:r>
      <w:bookmarkEnd w:id="7"/>
      <w:bookmarkEnd w:id="8"/>
    </w:p>
    <w:p w:rsidR="0076636B" w:rsidRPr="007B7464" w:rsidRDefault="0076636B" w:rsidP="0076636B">
      <w:pPr>
        <w:rPr>
          <w:rFonts w:cs="Arial"/>
          <w:szCs w:val="20"/>
        </w:rPr>
      </w:pPr>
    </w:p>
    <w:p w:rsidR="0076636B" w:rsidRPr="007B7464" w:rsidRDefault="0076636B" w:rsidP="0076636B">
      <w:pPr>
        <w:rPr>
          <w:rFonts w:cs="Arial"/>
          <w:szCs w:val="20"/>
        </w:rPr>
      </w:pPr>
    </w:p>
    <w:p w:rsidR="0076636B" w:rsidRPr="007B7464" w:rsidRDefault="0076636B" w:rsidP="0076636B">
      <w:pPr>
        <w:rPr>
          <w:rFonts w:cs="Arial"/>
          <w:szCs w:val="20"/>
        </w:rPr>
      </w:pPr>
    </w:p>
    <w:tbl>
      <w:tblPr>
        <w:tblW w:w="918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384"/>
        <w:gridCol w:w="2096"/>
        <w:gridCol w:w="2700"/>
      </w:tblGrid>
      <w:tr w:rsidR="0076636B" w:rsidRPr="007B7464" w:rsidTr="00CB3088">
        <w:tc>
          <w:tcPr>
            <w:tcW w:w="4384" w:type="dxa"/>
            <w:shd w:val="clear" w:color="auto" w:fill="auto"/>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Libellé de la pénalité</w:t>
            </w:r>
          </w:p>
        </w:tc>
        <w:tc>
          <w:tcPr>
            <w:tcW w:w="2096" w:type="dxa"/>
            <w:shd w:val="clear" w:color="auto" w:fill="auto"/>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Unité</w:t>
            </w:r>
          </w:p>
        </w:tc>
        <w:tc>
          <w:tcPr>
            <w:tcW w:w="2700" w:type="dxa"/>
            <w:shd w:val="clear" w:color="auto" w:fill="auto"/>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Montant unitaire (€ HT)</w:t>
            </w:r>
          </w:p>
        </w:tc>
      </w:tr>
      <w:tr w:rsidR="0076636B" w:rsidRPr="007B7464" w:rsidTr="00E83ECD">
        <w:tc>
          <w:tcPr>
            <w:tcW w:w="4384" w:type="dxa"/>
          </w:tcPr>
          <w:p w:rsidR="0076636B" w:rsidRPr="007B7464" w:rsidRDefault="0076636B" w:rsidP="00E83ECD">
            <w:pPr>
              <w:spacing w:before="60" w:after="60"/>
              <w:rPr>
                <w:rFonts w:cs="Arial"/>
                <w:szCs w:val="20"/>
              </w:rPr>
            </w:pPr>
            <w:r w:rsidRPr="007B7464">
              <w:rPr>
                <w:rFonts w:cs="Arial"/>
                <w:szCs w:val="20"/>
              </w:rPr>
              <w:t>Pén</w:t>
            </w:r>
            <w:r w:rsidR="00CB3088" w:rsidRPr="007B7464">
              <w:rPr>
                <w:rFonts w:cs="Arial"/>
                <w:szCs w:val="20"/>
              </w:rPr>
              <w:t xml:space="preserve">alité pour résiliation </w:t>
            </w:r>
            <w:r w:rsidRPr="007B7464">
              <w:rPr>
                <w:rFonts w:cs="Arial"/>
                <w:szCs w:val="20"/>
              </w:rPr>
              <w:t xml:space="preserve"> avant échéance de la période minimale d’engagement, qu’elle qu’en soit la cause</w:t>
            </w:r>
          </w:p>
        </w:tc>
        <w:tc>
          <w:tcPr>
            <w:tcW w:w="2096" w:type="dxa"/>
          </w:tcPr>
          <w:p w:rsidR="0076636B" w:rsidRPr="007B7464" w:rsidRDefault="0076636B" w:rsidP="00E83ECD">
            <w:pPr>
              <w:spacing w:before="60" w:after="60"/>
              <w:jc w:val="center"/>
              <w:rPr>
                <w:rFonts w:cs="Arial"/>
                <w:szCs w:val="20"/>
              </w:rPr>
            </w:pPr>
            <w:r w:rsidRPr="007B7464">
              <w:rPr>
                <w:rFonts w:cs="Arial"/>
                <w:szCs w:val="20"/>
              </w:rPr>
              <w:t>FOP</w:t>
            </w:r>
            <w:r w:rsidR="00CB3088" w:rsidRPr="007B7464">
              <w:rPr>
                <w:rFonts w:cs="Arial"/>
                <w:szCs w:val="20"/>
              </w:rPr>
              <w:t xml:space="preserve"> </w:t>
            </w:r>
            <w:r w:rsidR="00D366C4" w:rsidRPr="007B7464">
              <w:rPr>
                <w:rFonts w:cs="Arial"/>
                <w:szCs w:val="20"/>
              </w:rPr>
              <w:t>point à point</w:t>
            </w:r>
            <w:r w:rsidR="00CB3088" w:rsidRPr="007B7464">
              <w:rPr>
                <w:rFonts w:cs="Arial"/>
                <w:szCs w:val="20"/>
              </w:rPr>
              <w:t xml:space="preserve"> </w:t>
            </w:r>
            <w:r w:rsidRPr="007B7464">
              <w:rPr>
                <w:rFonts w:cs="Arial"/>
                <w:szCs w:val="20"/>
              </w:rPr>
              <w:t xml:space="preserve"> résiliée</w:t>
            </w:r>
          </w:p>
        </w:tc>
        <w:tc>
          <w:tcPr>
            <w:tcW w:w="2700" w:type="dxa"/>
          </w:tcPr>
          <w:p w:rsidR="0076636B" w:rsidRPr="007B7464" w:rsidRDefault="0076636B" w:rsidP="00E83ECD">
            <w:pPr>
              <w:spacing w:before="60" w:after="60"/>
              <w:jc w:val="center"/>
              <w:rPr>
                <w:rFonts w:cs="Arial"/>
                <w:szCs w:val="20"/>
              </w:rPr>
            </w:pPr>
            <w:r w:rsidRPr="007B7464">
              <w:rPr>
                <w:rFonts w:cs="Arial"/>
                <w:szCs w:val="20"/>
              </w:rPr>
              <w:t>100% de la redevance restant due jusqu’à échéance de la période minimale d’engagement</w:t>
            </w:r>
          </w:p>
        </w:tc>
      </w:tr>
      <w:tr w:rsidR="0076636B" w:rsidRPr="007B7464" w:rsidTr="00E83ECD">
        <w:tc>
          <w:tcPr>
            <w:tcW w:w="4384" w:type="dxa"/>
          </w:tcPr>
          <w:p w:rsidR="0076636B" w:rsidRPr="007B7464" w:rsidRDefault="0076636B" w:rsidP="00E83ECD">
            <w:pPr>
              <w:spacing w:before="60" w:after="60"/>
              <w:rPr>
                <w:rFonts w:cs="Arial"/>
                <w:szCs w:val="20"/>
              </w:rPr>
            </w:pPr>
            <w:r w:rsidRPr="007B7464">
              <w:rPr>
                <w:rFonts w:cs="Arial"/>
                <w:szCs w:val="20"/>
              </w:rPr>
              <w:t>Déplacement à tort</w:t>
            </w:r>
          </w:p>
          <w:p w:rsidR="0076636B" w:rsidRPr="007B7464" w:rsidRDefault="0076636B" w:rsidP="0076636B">
            <w:pPr>
              <w:numPr>
                <w:ilvl w:val="0"/>
                <w:numId w:val="13"/>
              </w:numPr>
              <w:spacing w:before="60" w:after="60"/>
              <w:rPr>
                <w:rFonts w:cs="Arial"/>
                <w:szCs w:val="20"/>
              </w:rPr>
            </w:pPr>
            <w:r w:rsidRPr="007B7464">
              <w:rPr>
                <w:rFonts w:cs="Arial"/>
                <w:szCs w:val="20"/>
              </w:rPr>
              <w:t>en heures ouvrées</w:t>
            </w:r>
          </w:p>
          <w:p w:rsidR="0076636B" w:rsidRPr="007B7464" w:rsidRDefault="0076636B" w:rsidP="0076636B">
            <w:pPr>
              <w:numPr>
                <w:ilvl w:val="0"/>
                <w:numId w:val="13"/>
              </w:numPr>
              <w:spacing w:before="60" w:after="60"/>
              <w:rPr>
                <w:rFonts w:cs="Arial"/>
                <w:szCs w:val="20"/>
              </w:rPr>
            </w:pPr>
            <w:r w:rsidRPr="007B7464">
              <w:rPr>
                <w:rFonts w:cs="Arial"/>
                <w:szCs w:val="20"/>
              </w:rPr>
              <w:t>en heures non ouvrées</w:t>
            </w:r>
          </w:p>
        </w:tc>
        <w:tc>
          <w:tcPr>
            <w:tcW w:w="2096" w:type="dxa"/>
          </w:tcPr>
          <w:p w:rsidR="0076636B" w:rsidRPr="007B7464" w:rsidRDefault="0076636B" w:rsidP="00E83ECD">
            <w:pPr>
              <w:spacing w:before="60" w:after="60"/>
              <w:jc w:val="center"/>
              <w:rPr>
                <w:rFonts w:cs="Arial"/>
                <w:szCs w:val="20"/>
              </w:rPr>
            </w:pPr>
          </w:p>
          <w:p w:rsidR="0076636B" w:rsidRPr="007B7464" w:rsidRDefault="0076636B" w:rsidP="00E83ECD">
            <w:pPr>
              <w:spacing w:before="60" w:after="60"/>
              <w:jc w:val="center"/>
              <w:rPr>
                <w:rFonts w:cs="Arial"/>
                <w:szCs w:val="20"/>
              </w:rPr>
            </w:pPr>
            <w:r w:rsidRPr="007B7464">
              <w:rPr>
                <w:rFonts w:cs="Arial"/>
                <w:szCs w:val="20"/>
              </w:rPr>
              <w:t>heure</w:t>
            </w:r>
          </w:p>
        </w:tc>
        <w:tc>
          <w:tcPr>
            <w:tcW w:w="2700" w:type="dxa"/>
          </w:tcPr>
          <w:p w:rsidR="0076636B" w:rsidRPr="007B7464" w:rsidRDefault="0076636B" w:rsidP="00E83ECD">
            <w:pPr>
              <w:spacing w:before="60" w:after="60"/>
              <w:jc w:val="center"/>
              <w:rPr>
                <w:rFonts w:cs="Arial"/>
                <w:szCs w:val="20"/>
              </w:rPr>
            </w:pPr>
          </w:p>
          <w:p w:rsidR="0076636B" w:rsidRPr="007B7464" w:rsidRDefault="0076636B" w:rsidP="00E83ECD">
            <w:pPr>
              <w:spacing w:before="60" w:after="60"/>
              <w:jc w:val="center"/>
              <w:rPr>
                <w:rFonts w:cs="Arial"/>
                <w:szCs w:val="20"/>
              </w:rPr>
            </w:pPr>
            <w:r w:rsidRPr="007B7464">
              <w:rPr>
                <w:rFonts w:cs="Arial"/>
                <w:szCs w:val="20"/>
              </w:rPr>
              <w:t>79,40 €</w:t>
            </w:r>
          </w:p>
          <w:p w:rsidR="0076636B" w:rsidRPr="007B7464" w:rsidRDefault="0076636B" w:rsidP="00E83ECD">
            <w:pPr>
              <w:spacing w:before="60" w:after="60"/>
              <w:jc w:val="center"/>
              <w:rPr>
                <w:rFonts w:cs="Arial"/>
                <w:szCs w:val="20"/>
              </w:rPr>
            </w:pPr>
            <w:r w:rsidRPr="007B7464">
              <w:rPr>
                <w:rFonts w:cs="Arial"/>
                <w:szCs w:val="20"/>
              </w:rPr>
              <w:t>158,80 €</w:t>
            </w:r>
          </w:p>
        </w:tc>
      </w:tr>
    </w:tbl>
    <w:p w:rsidR="0076636B" w:rsidRPr="007B7464" w:rsidRDefault="0076636B" w:rsidP="0076636B">
      <w:pPr>
        <w:rPr>
          <w:rFonts w:cs="Arial"/>
          <w:szCs w:val="20"/>
        </w:rPr>
      </w:pPr>
    </w:p>
    <w:p w:rsidR="0076636B" w:rsidRPr="007B7464" w:rsidRDefault="0076636B" w:rsidP="0076636B">
      <w:pPr>
        <w:jc w:val="both"/>
        <w:rPr>
          <w:rFonts w:cs="Arial"/>
          <w:szCs w:val="20"/>
        </w:rPr>
      </w:pPr>
    </w:p>
    <w:p w:rsidR="0076636B" w:rsidRPr="007B7464" w:rsidRDefault="0076636B" w:rsidP="0076636B">
      <w:pPr>
        <w:jc w:val="both"/>
        <w:rPr>
          <w:rFonts w:cs="Arial"/>
          <w:szCs w:val="20"/>
        </w:rPr>
      </w:pPr>
    </w:p>
    <w:p w:rsidR="0076636B" w:rsidRPr="007B7464" w:rsidRDefault="0076636B" w:rsidP="00F3788C">
      <w:pPr>
        <w:pStyle w:val="Paragraphedeliste"/>
        <w:numPr>
          <w:ilvl w:val="0"/>
          <w:numId w:val="14"/>
        </w:numPr>
        <w:rPr>
          <w:rFonts w:ascii="Helvetica 55 Roman" w:hAnsi="Helvetica 55 Roman"/>
          <w:sz w:val="28"/>
          <w:szCs w:val="28"/>
        </w:rPr>
      </w:pPr>
      <w:r w:rsidRPr="007B7464">
        <w:rPr>
          <w:rFonts w:ascii="Helvetica 55 Roman" w:hAnsi="Helvetica 55 Roman" w:cs="Arial"/>
          <w:b/>
          <w:sz w:val="28"/>
          <w:szCs w:val="28"/>
        </w:rPr>
        <w:t xml:space="preserve">Pénalités pouvant être dues par </w:t>
      </w:r>
      <w:r w:rsidR="00F3788C" w:rsidRPr="007B7464">
        <w:rPr>
          <w:rFonts w:ascii="Helvetica 55 Roman" w:hAnsi="Helvetica 55 Roman" w:cs="Arial"/>
          <w:b/>
          <w:sz w:val="28"/>
          <w:szCs w:val="28"/>
        </w:rPr>
        <w:t>le Réseau d'initiative publique</w:t>
      </w:r>
    </w:p>
    <w:p w:rsidR="0076636B" w:rsidRPr="007B7464" w:rsidRDefault="0076636B" w:rsidP="0076636B">
      <w:pPr>
        <w:jc w:val="both"/>
        <w:rPr>
          <w:rFonts w:cs="Arial"/>
          <w:szCs w:val="20"/>
        </w:rPr>
      </w:pPr>
    </w:p>
    <w:p w:rsidR="0076636B" w:rsidRPr="007B7464" w:rsidRDefault="0076636B" w:rsidP="0076636B">
      <w:pPr>
        <w:jc w:val="both"/>
        <w:rPr>
          <w:rFonts w:cs="Arial"/>
          <w:b/>
          <w:u w:val="single"/>
        </w:rPr>
      </w:pPr>
      <w:r w:rsidRPr="007B7464">
        <w:rPr>
          <w:rFonts w:cs="Arial"/>
          <w:b/>
        </w:rPr>
        <w:t xml:space="preserve">2.1. </w:t>
      </w:r>
      <w:r w:rsidRPr="007B7464">
        <w:rPr>
          <w:rFonts w:cs="Arial"/>
          <w:b/>
          <w:u w:val="single"/>
        </w:rPr>
        <w:t>Pénalité en cas de non-respect de la date convenue de mise à disposition</w:t>
      </w:r>
      <w:r w:rsidRPr="007B7464">
        <w:rPr>
          <w:rFonts w:cs="Arial"/>
          <w:b/>
        </w:rPr>
        <w:t xml:space="preserve"> </w:t>
      </w:r>
    </w:p>
    <w:p w:rsidR="0076636B" w:rsidRPr="007B7464" w:rsidRDefault="0076636B" w:rsidP="0076636B">
      <w:pPr>
        <w:jc w:val="both"/>
        <w:rPr>
          <w:rFonts w:cs="Arial"/>
          <w:szCs w:val="20"/>
        </w:rPr>
      </w:pPr>
    </w:p>
    <w:tbl>
      <w:tblPr>
        <w:tblW w:w="918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69"/>
        <w:gridCol w:w="2511"/>
        <w:gridCol w:w="2700"/>
      </w:tblGrid>
      <w:tr w:rsidR="0076636B" w:rsidRPr="007B7464" w:rsidTr="00CB3088">
        <w:tc>
          <w:tcPr>
            <w:tcW w:w="3969"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X correspondants au retard par rapport à la date convenue de mise à disposition</w:t>
            </w:r>
          </w:p>
        </w:tc>
        <w:tc>
          <w:tcPr>
            <w:tcW w:w="2511"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Unité</w:t>
            </w:r>
          </w:p>
        </w:tc>
        <w:tc>
          <w:tcPr>
            <w:tcW w:w="2700"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Pénalité due</w:t>
            </w:r>
          </w:p>
        </w:tc>
      </w:tr>
      <w:tr w:rsidR="0076636B" w:rsidRPr="007B7464" w:rsidTr="00E83ECD">
        <w:tc>
          <w:tcPr>
            <w:tcW w:w="3969" w:type="dxa"/>
          </w:tcPr>
          <w:p w:rsidR="0076636B" w:rsidRPr="007B7464" w:rsidRDefault="0076636B" w:rsidP="00E83ECD">
            <w:pPr>
              <w:spacing w:before="60" w:after="60"/>
              <w:rPr>
                <w:rFonts w:cs="Arial"/>
                <w:szCs w:val="20"/>
              </w:rPr>
            </w:pPr>
            <w:r w:rsidRPr="007B7464">
              <w:rPr>
                <w:rFonts w:cs="Arial"/>
                <w:szCs w:val="20"/>
              </w:rPr>
              <w:t>X ≤ 20 jours ouvrés</w:t>
            </w:r>
          </w:p>
        </w:tc>
        <w:tc>
          <w:tcPr>
            <w:tcW w:w="2511" w:type="dxa"/>
          </w:tcPr>
          <w:p w:rsidR="0076636B" w:rsidRPr="007B7464" w:rsidRDefault="0076636B" w:rsidP="00E83ECD">
            <w:pPr>
              <w:spacing w:before="60" w:after="60"/>
              <w:jc w:val="center"/>
              <w:rPr>
                <w:rFonts w:cs="Arial"/>
                <w:szCs w:val="20"/>
              </w:rPr>
            </w:pPr>
            <w:r w:rsidRPr="007B7464">
              <w:rPr>
                <w:rFonts w:cs="Arial"/>
                <w:szCs w:val="20"/>
              </w:rPr>
              <w:t>FOP</w:t>
            </w:r>
            <w:r w:rsidR="00CB3088" w:rsidRPr="007B7464">
              <w:rPr>
                <w:rFonts w:cs="Arial"/>
                <w:szCs w:val="20"/>
              </w:rPr>
              <w:t xml:space="preserve"> </w:t>
            </w:r>
            <w:r w:rsidR="00D366C4" w:rsidRPr="007B7464">
              <w:rPr>
                <w:rFonts w:cs="Arial"/>
                <w:szCs w:val="20"/>
              </w:rPr>
              <w:t>point à point</w:t>
            </w:r>
          </w:p>
        </w:tc>
        <w:tc>
          <w:tcPr>
            <w:tcW w:w="2700" w:type="dxa"/>
          </w:tcPr>
          <w:p w:rsidR="0076636B" w:rsidRPr="007B7464" w:rsidRDefault="0076636B" w:rsidP="00E83ECD">
            <w:pPr>
              <w:spacing w:before="60" w:after="60"/>
              <w:jc w:val="center"/>
              <w:rPr>
                <w:rFonts w:cs="Arial"/>
                <w:szCs w:val="20"/>
              </w:rPr>
            </w:pPr>
            <w:r w:rsidRPr="007B7464">
              <w:rPr>
                <w:rFonts w:cs="Arial"/>
                <w:szCs w:val="20"/>
              </w:rPr>
              <w:t>250 €</w:t>
            </w:r>
          </w:p>
        </w:tc>
      </w:tr>
      <w:tr w:rsidR="00CB3088" w:rsidRPr="007B7464" w:rsidTr="00E83ECD">
        <w:tc>
          <w:tcPr>
            <w:tcW w:w="3969" w:type="dxa"/>
          </w:tcPr>
          <w:p w:rsidR="00CB3088" w:rsidRPr="007B7464" w:rsidRDefault="00CB3088" w:rsidP="00E83ECD">
            <w:pPr>
              <w:spacing w:before="60" w:after="60"/>
              <w:rPr>
                <w:rFonts w:cs="Arial"/>
                <w:szCs w:val="20"/>
              </w:rPr>
            </w:pPr>
            <w:r w:rsidRPr="007B7464">
              <w:rPr>
                <w:rFonts w:cs="Arial"/>
                <w:szCs w:val="20"/>
              </w:rPr>
              <w:t>20 jours ouvrés &lt; X ≤ 40 jours ouvrés</w:t>
            </w:r>
          </w:p>
        </w:tc>
        <w:tc>
          <w:tcPr>
            <w:tcW w:w="2511"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500 €</w:t>
            </w:r>
          </w:p>
        </w:tc>
      </w:tr>
      <w:tr w:rsidR="00CB3088" w:rsidRPr="007B7464" w:rsidTr="00E83ECD">
        <w:tc>
          <w:tcPr>
            <w:tcW w:w="3969" w:type="dxa"/>
          </w:tcPr>
          <w:p w:rsidR="00CB3088" w:rsidRPr="007B7464" w:rsidRDefault="00CB3088" w:rsidP="00E83ECD">
            <w:pPr>
              <w:spacing w:before="60" w:after="60"/>
              <w:rPr>
                <w:rFonts w:cs="Arial"/>
                <w:szCs w:val="20"/>
              </w:rPr>
            </w:pPr>
            <w:r w:rsidRPr="007B7464">
              <w:rPr>
                <w:rFonts w:cs="Arial"/>
                <w:szCs w:val="20"/>
              </w:rPr>
              <w:t>40 jours ouvrés &lt; X ≤ 60 jours ouvrés</w:t>
            </w:r>
          </w:p>
        </w:tc>
        <w:tc>
          <w:tcPr>
            <w:tcW w:w="2511"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750 €</w:t>
            </w:r>
          </w:p>
        </w:tc>
      </w:tr>
      <w:tr w:rsidR="00CB3088" w:rsidRPr="007B7464" w:rsidTr="00E83ECD">
        <w:tc>
          <w:tcPr>
            <w:tcW w:w="3969" w:type="dxa"/>
          </w:tcPr>
          <w:p w:rsidR="00CB3088" w:rsidRPr="007B7464" w:rsidRDefault="00CB3088" w:rsidP="00E83ECD">
            <w:pPr>
              <w:spacing w:before="60" w:after="60"/>
              <w:rPr>
                <w:rFonts w:cs="Arial"/>
                <w:szCs w:val="20"/>
              </w:rPr>
            </w:pPr>
            <w:r w:rsidRPr="007B7464">
              <w:rPr>
                <w:rFonts w:cs="Arial"/>
                <w:szCs w:val="20"/>
              </w:rPr>
              <w:t>60 jours ouvrés &lt; X</w:t>
            </w:r>
          </w:p>
        </w:tc>
        <w:tc>
          <w:tcPr>
            <w:tcW w:w="2511"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1 000 €</w:t>
            </w:r>
          </w:p>
        </w:tc>
      </w:tr>
    </w:tbl>
    <w:p w:rsidR="0076636B" w:rsidRPr="007B7464" w:rsidRDefault="0076636B" w:rsidP="0076636B">
      <w:pPr>
        <w:jc w:val="both"/>
        <w:rPr>
          <w:rFonts w:cs="Arial"/>
          <w:szCs w:val="20"/>
        </w:rPr>
      </w:pPr>
    </w:p>
    <w:p w:rsidR="0076636B" w:rsidRPr="007B7464" w:rsidRDefault="0076636B" w:rsidP="0076636B">
      <w:pPr>
        <w:jc w:val="both"/>
        <w:rPr>
          <w:rFonts w:cs="Arial"/>
          <w:b/>
          <w:u w:val="single"/>
        </w:rPr>
      </w:pPr>
      <w:r w:rsidRPr="007B7464">
        <w:rPr>
          <w:rFonts w:cs="Arial"/>
          <w:b/>
        </w:rPr>
        <w:lastRenderedPageBreak/>
        <w:t xml:space="preserve">2.2. </w:t>
      </w:r>
      <w:r w:rsidRPr="007B7464">
        <w:rPr>
          <w:rFonts w:cs="Arial"/>
          <w:b/>
          <w:u w:val="single"/>
        </w:rPr>
        <w:t>Pénalité en cas de non-respect de la GTR</w:t>
      </w:r>
      <w:r w:rsidRPr="007B7464">
        <w:rPr>
          <w:rFonts w:cs="Arial"/>
          <w:b/>
        </w:rPr>
        <w:t xml:space="preserve"> </w:t>
      </w: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ind w:left="708"/>
        <w:jc w:val="both"/>
        <w:rPr>
          <w:rFonts w:cs="Arial"/>
          <w:b/>
          <w:i/>
          <w:szCs w:val="20"/>
        </w:rPr>
      </w:pPr>
      <w:r w:rsidRPr="007B7464">
        <w:rPr>
          <w:rFonts w:cs="Arial"/>
          <w:b/>
          <w:i/>
          <w:szCs w:val="20"/>
        </w:rPr>
        <w:t>2.2.1. GTR incluse en standard dans le contrat</w:t>
      </w: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r w:rsidRPr="007B7464">
        <w:rPr>
          <w:rFonts w:cs="Arial"/>
          <w:szCs w:val="20"/>
        </w:rPr>
        <w:t xml:space="preserve">En cas de non-respect de la GTR incluse en standard dans le contrat, </w:t>
      </w:r>
      <w:r w:rsidR="00F3788C" w:rsidRPr="007B7464">
        <w:rPr>
          <w:rFonts w:cs="Arial"/>
          <w:szCs w:val="20"/>
        </w:rPr>
        <w:t>le Réseau d'initiative publique</w:t>
      </w:r>
      <w:r w:rsidRPr="007B7464">
        <w:rPr>
          <w:rFonts w:cs="Arial"/>
          <w:szCs w:val="20"/>
        </w:rPr>
        <w:t xml:space="preserve"> sera redevable d’une pénalité forfaitaire de 130 € par FOP.</w:t>
      </w: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ind w:left="708"/>
        <w:jc w:val="both"/>
        <w:rPr>
          <w:rFonts w:cs="Arial"/>
          <w:b/>
          <w:i/>
          <w:szCs w:val="20"/>
        </w:rPr>
      </w:pPr>
      <w:r w:rsidRPr="007B7464">
        <w:rPr>
          <w:rFonts w:cs="Arial"/>
          <w:b/>
          <w:i/>
          <w:szCs w:val="20"/>
        </w:rPr>
        <w:t>2.2.2. GTR optionnelle</w:t>
      </w: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r w:rsidRPr="007B7464">
        <w:rPr>
          <w:rFonts w:cs="Arial"/>
          <w:szCs w:val="20"/>
        </w:rPr>
        <w:t xml:space="preserve">En cas de non-respect de la GTR optionnelle prise dans le cadre de l’option de maintenance étendue, </w:t>
      </w:r>
      <w:r w:rsidR="00F3788C" w:rsidRPr="007B7464">
        <w:rPr>
          <w:rFonts w:cs="Arial"/>
          <w:szCs w:val="20"/>
        </w:rPr>
        <w:t>le Réseau d'initiative publique</w:t>
      </w:r>
      <w:r w:rsidRPr="007B7464">
        <w:rPr>
          <w:rFonts w:cs="Arial"/>
          <w:szCs w:val="20"/>
        </w:rPr>
        <w:t xml:space="preserve"> sera redevable de pénalités calculées selon les modalités ci-après :</w:t>
      </w:r>
    </w:p>
    <w:p w:rsidR="0076636B" w:rsidRPr="007B7464" w:rsidRDefault="0076636B" w:rsidP="0076636B">
      <w:pPr>
        <w:rPr>
          <w:rFonts w:cs="Arial"/>
          <w:szCs w:val="20"/>
        </w:rPr>
      </w:pPr>
    </w:p>
    <w:p w:rsidR="0076636B" w:rsidRPr="007B7464" w:rsidRDefault="0076636B" w:rsidP="0076636B">
      <w:pPr>
        <w:jc w:val="both"/>
        <w:rPr>
          <w:rFonts w:cs="Arial"/>
          <w:szCs w:val="20"/>
        </w:rPr>
      </w:pPr>
    </w:p>
    <w:tbl>
      <w:tblPr>
        <w:tblW w:w="918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69"/>
        <w:gridCol w:w="2511"/>
        <w:gridCol w:w="2700"/>
      </w:tblGrid>
      <w:tr w:rsidR="0076636B" w:rsidRPr="007B7464" w:rsidTr="00CB3088">
        <w:tc>
          <w:tcPr>
            <w:tcW w:w="3969"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X correspondants au retard par rapport au temps de rétablissement garanti</w:t>
            </w:r>
          </w:p>
        </w:tc>
        <w:tc>
          <w:tcPr>
            <w:tcW w:w="2511"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Unité</w:t>
            </w:r>
          </w:p>
        </w:tc>
        <w:tc>
          <w:tcPr>
            <w:tcW w:w="2700"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Pénalité due</w:t>
            </w:r>
          </w:p>
        </w:tc>
      </w:tr>
      <w:tr w:rsidR="00CB3088" w:rsidRPr="007B7464" w:rsidTr="00E83ECD">
        <w:tc>
          <w:tcPr>
            <w:tcW w:w="3969" w:type="dxa"/>
          </w:tcPr>
          <w:p w:rsidR="00CB3088" w:rsidRPr="007B7464" w:rsidRDefault="00CB3088" w:rsidP="00E83ECD">
            <w:pPr>
              <w:spacing w:before="60" w:after="60"/>
              <w:rPr>
                <w:rFonts w:cs="Arial"/>
                <w:szCs w:val="20"/>
              </w:rPr>
            </w:pPr>
            <w:r w:rsidRPr="007B7464">
              <w:rPr>
                <w:rFonts w:cs="Arial"/>
                <w:szCs w:val="20"/>
              </w:rPr>
              <w:t>X ≤ 4 h</w:t>
            </w:r>
          </w:p>
        </w:tc>
        <w:tc>
          <w:tcPr>
            <w:tcW w:w="2511"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250 €</w:t>
            </w:r>
          </w:p>
        </w:tc>
      </w:tr>
      <w:tr w:rsidR="00CB3088" w:rsidRPr="007B7464" w:rsidTr="00E83ECD">
        <w:tc>
          <w:tcPr>
            <w:tcW w:w="3969" w:type="dxa"/>
          </w:tcPr>
          <w:p w:rsidR="00CB3088" w:rsidRPr="007B7464" w:rsidRDefault="00CB3088" w:rsidP="00E83ECD">
            <w:pPr>
              <w:spacing w:before="60" w:after="60"/>
              <w:rPr>
                <w:rFonts w:cs="Arial"/>
                <w:szCs w:val="20"/>
              </w:rPr>
            </w:pPr>
            <w:r w:rsidRPr="007B7464">
              <w:rPr>
                <w:rFonts w:cs="Arial"/>
                <w:szCs w:val="20"/>
              </w:rPr>
              <w:t>4 h &lt; X ≤ 8 h</w:t>
            </w:r>
          </w:p>
        </w:tc>
        <w:tc>
          <w:tcPr>
            <w:tcW w:w="2511"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500 €</w:t>
            </w:r>
          </w:p>
        </w:tc>
      </w:tr>
      <w:tr w:rsidR="00CB3088" w:rsidRPr="007B7464" w:rsidTr="00E83ECD">
        <w:tc>
          <w:tcPr>
            <w:tcW w:w="3969" w:type="dxa"/>
          </w:tcPr>
          <w:p w:rsidR="00CB3088" w:rsidRPr="007B7464" w:rsidRDefault="00CB3088" w:rsidP="00E83ECD">
            <w:pPr>
              <w:spacing w:before="60" w:after="60"/>
              <w:rPr>
                <w:rFonts w:cs="Arial"/>
                <w:szCs w:val="20"/>
              </w:rPr>
            </w:pPr>
            <w:r w:rsidRPr="007B7464">
              <w:rPr>
                <w:rFonts w:cs="Arial"/>
                <w:szCs w:val="20"/>
              </w:rPr>
              <w:t>8 h &lt; X ≤ 16 h</w:t>
            </w:r>
          </w:p>
        </w:tc>
        <w:tc>
          <w:tcPr>
            <w:tcW w:w="2511"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750 €</w:t>
            </w:r>
          </w:p>
        </w:tc>
      </w:tr>
      <w:tr w:rsidR="00CB3088" w:rsidRPr="007B7464" w:rsidTr="00E83ECD">
        <w:tc>
          <w:tcPr>
            <w:tcW w:w="3969" w:type="dxa"/>
          </w:tcPr>
          <w:p w:rsidR="00CB3088" w:rsidRPr="007B7464" w:rsidRDefault="00CB3088" w:rsidP="00E83ECD">
            <w:pPr>
              <w:spacing w:before="60" w:after="60"/>
              <w:rPr>
                <w:rFonts w:cs="Arial"/>
                <w:szCs w:val="20"/>
              </w:rPr>
            </w:pPr>
            <w:r w:rsidRPr="007B7464">
              <w:rPr>
                <w:rFonts w:cs="Arial"/>
                <w:szCs w:val="20"/>
              </w:rPr>
              <w:t>16 h &lt; X</w:t>
            </w:r>
          </w:p>
        </w:tc>
        <w:tc>
          <w:tcPr>
            <w:tcW w:w="2511"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1 000 €</w:t>
            </w:r>
          </w:p>
        </w:tc>
      </w:tr>
    </w:tbl>
    <w:p w:rsidR="0076636B" w:rsidRPr="007B7464" w:rsidRDefault="0076636B" w:rsidP="0076636B">
      <w:pPr>
        <w:jc w:val="both"/>
        <w:rPr>
          <w:rFonts w:cs="Arial"/>
          <w:szCs w:val="20"/>
        </w:rPr>
      </w:pPr>
    </w:p>
    <w:p w:rsidR="0076636B" w:rsidRPr="007B7464" w:rsidRDefault="0076636B" w:rsidP="0076636B">
      <w:pPr>
        <w:jc w:val="both"/>
        <w:rPr>
          <w:rFonts w:cs="Arial"/>
          <w:szCs w:val="20"/>
        </w:rPr>
      </w:pPr>
    </w:p>
    <w:p w:rsidR="0076636B" w:rsidRPr="007B7464" w:rsidRDefault="0076636B" w:rsidP="0076636B">
      <w:pPr>
        <w:jc w:val="both"/>
        <w:rPr>
          <w:rFonts w:cs="Arial"/>
          <w:szCs w:val="20"/>
        </w:rPr>
      </w:pPr>
      <w:r w:rsidRPr="007B7464">
        <w:rPr>
          <w:rFonts w:cs="Arial"/>
          <w:szCs w:val="20"/>
        </w:rPr>
        <w:t>Les pénalités réclamées correspondent à une seule et unique tranche et ne sont pas cumulables.</w:t>
      </w:r>
    </w:p>
    <w:p w:rsidR="0076636B" w:rsidRPr="007B7464" w:rsidRDefault="0076636B" w:rsidP="0076636B">
      <w:pPr>
        <w:jc w:val="both"/>
        <w:rPr>
          <w:rFonts w:cs="Arial"/>
          <w:szCs w:val="20"/>
        </w:rPr>
      </w:pPr>
    </w:p>
    <w:p w:rsidR="0076636B" w:rsidRPr="007B7464" w:rsidRDefault="0076636B" w:rsidP="0076636B">
      <w:pPr>
        <w:tabs>
          <w:tab w:val="left" w:pos="1440"/>
        </w:tabs>
        <w:ind w:left="708"/>
        <w:jc w:val="both"/>
        <w:rPr>
          <w:rFonts w:cs="Arial"/>
          <w:b/>
          <w:i/>
          <w:szCs w:val="20"/>
        </w:rPr>
      </w:pPr>
      <w:r w:rsidRPr="007B7464">
        <w:rPr>
          <w:rFonts w:cs="Arial"/>
          <w:b/>
          <w:i/>
          <w:szCs w:val="20"/>
        </w:rPr>
        <w:t>2.2.3. Plafond des pénalités de GTR</w:t>
      </w: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r w:rsidRPr="007B7464">
        <w:rPr>
          <w:rFonts w:cs="Arial"/>
          <w:szCs w:val="20"/>
        </w:rPr>
        <w:t>Les pénalités réclamées au titre de la GTR incluse en standard dans le contrat et de la GTR optionnelle, respectivement visées aux paragraphes 2.2.1 et 2.2.2 de la présente annexe, ne sont pas cumulables.</w:t>
      </w:r>
    </w:p>
    <w:p w:rsidR="0076636B" w:rsidRPr="007B7464" w:rsidRDefault="0076636B" w:rsidP="0076636B">
      <w:pPr>
        <w:tabs>
          <w:tab w:val="left" w:pos="1440"/>
        </w:tabs>
        <w:jc w:val="both"/>
        <w:rPr>
          <w:rFonts w:cs="Arial"/>
          <w:szCs w:val="20"/>
        </w:rPr>
      </w:pPr>
      <w:r w:rsidRPr="007B7464">
        <w:rPr>
          <w:rFonts w:cs="Arial"/>
          <w:szCs w:val="20"/>
        </w:rPr>
        <w:t xml:space="preserve">Le montant des pénalités de GTR, au titre de la GTR incluse en standard dans le contrat ou de la GTR optionnelle, versées par </w:t>
      </w:r>
      <w:r w:rsidR="00F3788C" w:rsidRPr="007B7464">
        <w:rPr>
          <w:rFonts w:cs="Arial"/>
          <w:szCs w:val="20"/>
        </w:rPr>
        <w:t>le Réseau d'initiative publique</w:t>
      </w:r>
      <w:r w:rsidRPr="007B7464">
        <w:rPr>
          <w:rFonts w:cs="Arial"/>
          <w:szCs w:val="20"/>
        </w:rPr>
        <w:t xml:space="preserve"> chaque année civile pour une même FOP est plafonné à 1 500 €.</w:t>
      </w: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p>
    <w:p w:rsidR="0076636B" w:rsidRPr="007B7464" w:rsidRDefault="0076636B" w:rsidP="0076636B">
      <w:pPr>
        <w:jc w:val="both"/>
        <w:rPr>
          <w:rFonts w:cs="Arial"/>
          <w:b/>
          <w:u w:val="single"/>
        </w:rPr>
      </w:pPr>
      <w:r w:rsidRPr="007B7464">
        <w:rPr>
          <w:rFonts w:cs="Arial"/>
          <w:b/>
        </w:rPr>
        <w:t xml:space="preserve">2.3. </w:t>
      </w:r>
      <w:r w:rsidRPr="007B7464">
        <w:rPr>
          <w:rFonts w:cs="Arial"/>
          <w:b/>
          <w:u w:val="single"/>
        </w:rPr>
        <w:t>Pénalité en cas de non-respect de l’IMS</w:t>
      </w:r>
      <w:r w:rsidRPr="007B7464">
        <w:rPr>
          <w:rFonts w:cs="Arial"/>
          <w:b/>
        </w:rPr>
        <w:t xml:space="preserve"> </w:t>
      </w:r>
      <w:r w:rsidRPr="007B7464">
        <w:rPr>
          <w:rFonts w:cs="Arial"/>
          <w:b/>
          <w:u w:val="single"/>
        </w:rPr>
        <w:t xml:space="preserve"> </w:t>
      </w: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r w:rsidRPr="007B7464">
        <w:rPr>
          <w:rFonts w:cs="Arial"/>
          <w:szCs w:val="20"/>
        </w:rPr>
        <w:t xml:space="preserve">En cas de non-respect de l’IMS, </w:t>
      </w:r>
      <w:r w:rsidR="00F3788C" w:rsidRPr="007B7464">
        <w:rPr>
          <w:rFonts w:cs="Arial"/>
          <w:szCs w:val="20"/>
        </w:rPr>
        <w:t>le Réseau d'initiative publique</w:t>
      </w:r>
      <w:r w:rsidRPr="007B7464">
        <w:rPr>
          <w:rFonts w:cs="Arial"/>
          <w:szCs w:val="20"/>
        </w:rPr>
        <w:t xml:space="preserve"> sera redevable de pénalités calculées selon les modalités ci-après :</w:t>
      </w:r>
    </w:p>
    <w:p w:rsidR="0076636B" w:rsidRPr="007B7464" w:rsidRDefault="0076636B" w:rsidP="0076636B">
      <w:pPr>
        <w:tabs>
          <w:tab w:val="left" w:pos="1440"/>
        </w:tabs>
        <w:jc w:val="both"/>
        <w:rPr>
          <w:rFonts w:cs="Arial"/>
          <w:szCs w:val="20"/>
        </w:rPr>
      </w:pPr>
    </w:p>
    <w:tbl>
      <w:tblPr>
        <w:tblW w:w="918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536"/>
        <w:gridCol w:w="1944"/>
        <w:gridCol w:w="2700"/>
      </w:tblGrid>
      <w:tr w:rsidR="0076636B" w:rsidRPr="007B7464" w:rsidTr="00CB3088">
        <w:tc>
          <w:tcPr>
            <w:tcW w:w="4536"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X correspondant au dépassement de l’IMS</w:t>
            </w:r>
          </w:p>
        </w:tc>
        <w:tc>
          <w:tcPr>
            <w:tcW w:w="1944"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Unité</w:t>
            </w:r>
          </w:p>
        </w:tc>
        <w:tc>
          <w:tcPr>
            <w:tcW w:w="2700" w:type="dxa"/>
            <w:shd w:val="clear" w:color="auto" w:fill="auto"/>
            <w:vAlign w:val="center"/>
          </w:tcPr>
          <w:p w:rsidR="0076636B" w:rsidRPr="007B7464" w:rsidRDefault="0076636B" w:rsidP="00E83ECD">
            <w:pPr>
              <w:pStyle w:val="WW-Corpsdetexte3"/>
              <w:spacing w:before="120" w:after="120"/>
              <w:jc w:val="center"/>
              <w:rPr>
                <w:rFonts w:ascii="Helvetica 55 Roman" w:hAnsi="Helvetica 55 Roman" w:cs="Arial"/>
                <w:b/>
                <w:i/>
              </w:rPr>
            </w:pPr>
            <w:r w:rsidRPr="007B7464">
              <w:rPr>
                <w:rFonts w:ascii="Helvetica 55 Roman" w:hAnsi="Helvetica 55 Roman" w:cs="Arial"/>
                <w:b/>
                <w:i/>
              </w:rPr>
              <w:t>Pénalité due</w:t>
            </w:r>
          </w:p>
        </w:tc>
      </w:tr>
      <w:tr w:rsidR="00CB3088" w:rsidRPr="007B7464" w:rsidTr="00E83ECD">
        <w:tc>
          <w:tcPr>
            <w:tcW w:w="4536" w:type="dxa"/>
          </w:tcPr>
          <w:p w:rsidR="00CB3088" w:rsidRPr="007B7464" w:rsidRDefault="00CB3088" w:rsidP="00E83ECD">
            <w:pPr>
              <w:spacing w:before="60" w:after="60"/>
              <w:rPr>
                <w:rFonts w:cs="Arial"/>
                <w:szCs w:val="20"/>
              </w:rPr>
            </w:pPr>
            <w:r w:rsidRPr="007B7464">
              <w:rPr>
                <w:rFonts w:cs="Arial"/>
                <w:szCs w:val="20"/>
              </w:rPr>
              <w:t>0 &lt; X ≤ 4 h</w:t>
            </w:r>
          </w:p>
        </w:tc>
        <w:tc>
          <w:tcPr>
            <w:tcW w:w="1944"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250 €</w:t>
            </w:r>
          </w:p>
        </w:tc>
      </w:tr>
      <w:tr w:rsidR="00CB3088" w:rsidRPr="007B7464" w:rsidTr="00E83ECD">
        <w:tc>
          <w:tcPr>
            <w:tcW w:w="4536" w:type="dxa"/>
          </w:tcPr>
          <w:p w:rsidR="00CB3088" w:rsidRPr="007B7464" w:rsidRDefault="00CB3088" w:rsidP="00E83ECD">
            <w:pPr>
              <w:spacing w:before="60" w:after="60"/>
              <w:rPr>
                <w:rFonts w:cs="Arial"/>
                <w:szCs w:val="20"/>
              </w:rPr>
            </w:pPr>
            <w:r w:rsidRPr="007B7464">
              <w:rPr>
                <w:rFonts w:cs="Arial"/>
                <w:szCs w:val="20"/>
              </w:rPr>
              <w:t>4 h &lt; X ≤ 8 h</w:t>
            </w:r>
          </w:p>
        </w:tc>
        <w:tc>
          <w:tcPr>
            <w:tcW w:w="1944"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500 €</w:t>
            </w:r>
          </w:p>
        </w:tc>
      </w:tr>
      <w:tr w:rsidR="00CB3088" w:rsidRPr="007B7464" w:rsidTr="00E83ECD">
        <w:tc>
          <w:tcPr>
            <w:tcW w:w="4536" w:type="dxa"/>
          </w:tcPr>
          <w:p w:rsidR="00CB3088" w:rsidRPr="007B7464" w:rsidRDefault="00CB3088" w:rsidP="00E83ECD">
            <w:pPr>
              <w:spacing w:before="60" w:after="60"/>
              <w:rPr>
                <w:rFonts w:cs="Arial"/>
                <w:szCs w:val="20"/>
              </w:rPr>
            </w:pPr>
            <w:r w:rsidRPr="007B7464">
              <w:rPr>
                <w:rFonts w:cs="Arial"/>
                <w:szCs w:val="20"/>
              </w:rPr>
              <w:t>8 h &lt; X ≤ 16 h</w:t>
            </w:r>
          </w:p>
        </w:tc>
        <w:tc>
          <w:tcPr>
            <w:tcW w:w="1944"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750 €</w:t>
            </w:r>
          </w:p>
        </w:tc>
      </w:tr>
      <w:tr w:rsidR="00CB3088" w:rsidRPr="007B7464" w:rsidTr="00E83ECD">
        <w:tc>
          <w:tcPr>
            <w:tcW w:w="4536" w:type="dxa"/>
          </w:tcPr>
          <w:p w:rsidR="00CB3088" w:rsidRPr="007B7464" w:rsidRDefault="00CB3088" w:rsidP="00E83ECD">
            <w:pPr>
              <w:spacing w:before="60" w:after="60"/>
              <w:rPr>
                <w:rFonts w:cs="Arial"/>
                <w:szCs w:val="20"/>
              </w:rPr>
            </w:pPr>
            <w:r w:rsidRPr="007B7464">
              <w:rPr>
                <w:rFonts w:cs="Arial"/>
                <w:szCs w:val="20"/>
              </w:rPr>
              <w:t>16 h &lt; X</w:t>
            </w:r>
          </w:p>
        </w:tc>
        <w:tc>
          <w:tcPr>
            <w:tcW w:w="1944" w:type="dxa"/>
          </w:tcPr>
          <w:p w:rsidR="00CB3088" w:rsidRPr="007B7464" w:rsidRDefault="00CB3088" w:rsidP="00CB3088">
            <w:pPr>
              <w:jc w:val="center"/>
            </w:pPr>
            <w:r w:rsidRPr="007B7464">
              <w:rPr>
                <w:rFonts w:cs="Arial"/>
                <w:szCs w:val="20"/>
              </w:rPr>
              <w:t xml:space="preserve">FOP </w:t>
            </w:r>
            <w:r w:rsidR="00D366C4" w:rsidRPr="007B7464">
              <w:rPr>
                <w:rFonts w:cs="Arial"/>
                <w:szCs w:val="20"/>
              </w:rPr>
              <w:t>point à point</w:t>
            </w:r>
          </w:p>
        </w:tc>
        <w:tc>
          <w:tcPr>
            <w:tcW w:w="2700" w:type="dxa"/>
          </w:tcPr>
          <w:p w:rsidR="00CB3088" w:rsidRPr="007B7464" w:rsidRDefault="00CB3088" w:rsidP="00E83ECD">
            <w:pPr>
              <w:spacing w:before="60" w:after="60"/>
              <w:jc w:val="center"/>
              <w:rPr>
                <w:rFonts w:cs="Arial"/>
                <w:szCs w:val="20"/>
              </w:rPr>
            </w:pPr>
            <w:r w:rsidRPr="007B7464">
              <w:rPr>
                <w:rFonts w:cs="Arial"/>
                <w:szCs w:val="20"/>
              </w:rPr>
              <w:t>1 000 €</w:t>
            </w:r>
          </w:p>
        </w:tc>
      </w:tr>
    </w:tbl>
    <w:p w:rsidR="0076636B" w:rsidRPr="007B7464" w:rsidRDefault="0076636B" w:rsidP="0076636B">
      <w:pPr>
        <w:tabs>
          <w:tab w:val="left" w:pos="1440"/>
        </w:tabs>
        <w:jc w:val="both"/>
        <w:rPr>
          <w:rFonts w:cs="Arial"/>
          <w:szCs w:val="20"/>
        </w:rPr>
      </w:pPr>
    </w:p>
    <w:p w:rsidR="0076636B" w:rsidRPr="007B7464" w:rsidRDefault="0076636B" w:rsidP="0076636B">
      <w:pPr>
        <w:tabs>
          <w:tab w:val="left" w:pos="1440"/>
        </w:tabs>
        <w:jc w:val="both"/>
        <w:rPr>
          <w:rFonts w:cs="Arial"/>
          <w:szCs w:val="20"/>
        </w:rPr>
      </w:pPr>
    </w:p>
    <w:p w:rsidR="005F4482" w:rsidRPr="007B7464" w:rsidRDefault="0076636B" w:rsidP="0076636B">
      <w:pPr>
        <w:rPr>
          <w:rFonts w:cs="Arial"/>
          <w:szCs w:val="20"/>
        </w:rPr>
      </w:pPr>
      <w:r w:rsidRPr="007B7464">
        <w:rPr>
          <w:rFonts w:cs="Arial"/>
          <w:szCs w:val="20"/>
        </w:rPr>
        <w:t>Les pénalités réclamées correspondent à une seule et unique tranche et ne sont pas cumulables.</w:t>
      </w:r>
    </w:p>
    <w:sectPr w:rsidR="005F4482" w:rsidRPr="007B7464" w:rsidSect="00D1492E">
      <w:footerReference w:type="even" r:id="rId7"/>
      <w:footerReference w:type="default" r:id="rId8"/>
      <w:headerReference w:type="first" r:id="rId9"/>
      <w:footerReference w:type="first" r:id="rId10"/>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F1C" w:rsidRDefault="008F4F1C">
      <w:pPr>
        <w:pStyle w:val="Pieddepage"/>
      </w:pPr>
      <w:r>
        <w:separator/>
      </w:r>
    </w:p>
  </w:endnote>
  <w:endnote w:type="continuationSeparator" w:id="0">
    <w:p w:rsidR="008F4F1C" w:rsidRDefault="008F4F1C">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FA1" w:rsidRDefault="001D2FA1"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1D2FA1" w:rsidRDefault="001D2FA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464" w:rsidRPr="00783904" w:rsidRDefault="007B7464" w:rsidP="007B7464">
    <w:pPr>
      <w:pStyle w:val="Pieddepage"/>
      <w:jc w:val="right"/>
      <w:rPr>
        <w:rFonts w:cs="Arial"/>
        <w:sz w:val="16"/>
        <w:szCs w:val="16"/>
      </w:rPr>
    </w:pPr>
    <w:r w:rsidRPr="00783904">
      <w:rPr>
        <w:rFonts w:cs="Arial"/>
        <w:sz w:val="16"/>
        <w:szCs w:val="16"/>
      </w:rPr>
      <w:t>FOP Point à Point</w:t>
    </w:r>
  </w:p>
  <w:p w:rsidR="007B7464" w:rsidRDefault="007B7464" w:rsidP="007B7464">
    <w:pPr>
      <w:pStyle w:val="Pieddepage"/>
      <w:jc w:val="right"/>
      <w:rPr>
        <w:rFonts w:cs="Arial"/>
        <w:sz w:val="16"/>
        <w:szCs w:val="16"/>
      </w:rPr>
    </w:pPr>
    <w:r>
      <w:rPr>
        <w:rFonts w:cs="Arial"/>
        <w:sz w:val="16"/>
        <w:szCs w:val="16"/>
      </w:rPr>
      <w:t>Version juillet 2019</w:t>
    </w:r>
  </w:p>
  <w:p w:rsidR="001D2FA1" w:rsidRPr="007B7464" w:rsidRDefault="007B7464" w:rsidP="007B7464">
    <w:pPr>
      <w:pStyle w:val="Pieddepage"/>
      <w:jc w:val="right"/>
      <w:rPr>
        <w:sz w:val="16"/>
        <w:szCs w:val="16"/>
      </w:rPr>
    </w:pPr>
    <w:r w:rsidRPr="00783904">
      <w:rPr>
        <w:rFonts w:cs="Arial"/>
        <w:sz w:val="16"/>
        <w:szCs w:val="16"/>
      </w:rPr>
      <w:t xml:space="preserve">Page </w:t>
    </w:r>
    <w:r w:rsidRPr="00783904">
      <w:rPr>
        <w:rFonts w:cs="Arial"/>
        <w:sz w:val="16"/>
        <w:szCs w:val="16"/>
      </w:rPr>
      <w:fldChar w:fldCharType="begin"/>
    </w:r>
    <w:r w:rsidRPr="00783904">
      <w:rPr>
        <w:rFonts w:cs="Arial"/>
        <w:sz w:val="16"/>
        <w:szCs w:val="16"/>
      </w:rPr>
      <w:instrText xml:space="preserve"> PAGE </w:instrText>
    </w:r>
    <w:r w:rsidRPr="00783904">
      <w:rPr>
        <w:rFonts w:cs="Arial"/>
        <w:sz w:val="16"/>
        <w:szCs w:val="16"/>
      </w:rPr>
      <w:fldChar w:fldCharType="separate"/>
    </w:r>
    <w:r w:rsidR="00D431C9">
      <w:rPr>
        <w:rFonts w:cs="Arial"/>
        <w:noProof/>
        <w:sz w:val="16"/>
        <w:szCs w:val="16"/>
      </w:rPr>
      <w:t>2</w:t>
    </w:r>
    <w:r w:rsidRPr="00783904">
      <w:rPr>
        <w:rFonts w:cs="Arial"/>
        <w:sz w:val="16"/>
        <w:szCs w:val="16"/>
      </w:rPr>
      <w:fldChar w:fldCharType="end"/>
    </w:r>
    <w:r w:rsidRPr="00783904">
      <w:rPr>
        <w:rFonts w:cs="Arial"/>
        <w:sz w:val="16"/>
        <w:szCs w:val="16"/>
      </w:rPr>
      <w:t xml:space="preserve"> sur </w:t>
    </w:r>
    <w:r w:rsidRPr="00783904">
      <w:rPr>
        <w:rFonts w:cs="Arial"/>
        <w:sz w:val="16"/>
        <w:szCs w:val="16"/>
      </w:rPr>
      <w:fldChar w:fldCharType="begin"/>
    </w:r>
    <w:r w:rsidRPr="00783904">
      <w:rPr>
        <w:rFonts w:cs="Arial"/>
        <w:sz w:val="16"/>
        <w:szCs w:val="16"/>
      </w:rPr>
      <w:instrText xml:space="preserve"> NUMPAGES </w:instrText>
    </w:r>
    <w:r w:rsidRPr="00783904">
      <w:rPr>
        <w:rFonts w:cs="Arial"/>
        <w:sz w:val="16"/>
        <w:szCs w:val="16"/>
      </w:rPr>
      <w:fldChar w:fldCharType="separate"/>
    </w:r>
    <w:r w:rsidR="00D431C9">
      <w:rPr>
        <w:rFonts w:cs="Arial"/>
        <w:noProof/>
        <w:sz w:val="16"/>
        <w:szCs w:val="16"/>
      </w:rPr>
      <w:t>2</w:t>
    </w:r>
    <w:r w:rsidRPr="00783904">
      <w:rPr>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464" w:rsidRPr="00783904" w:rsidRDefault="007B7464" w:rsidP="007B7464">
    <w:pPr>
      <w:pStyle w:val="Pieddepage"/>
      <w:jc w:val="right"/>
      <w:rPr>
        <w:rFonts w:cs="Arial"/>
        <w:sz w:val="16"/>
        <w:szCs w:val="16"/>
      </w:rPr>
    </w:pPr>
    <w:r w:rsidRPr="00783904">
      <w:rPr>
        <w:rFonts w:cs="Arial"/>
        <w:sz w:val="16"/>
        <w:szCs w:val="16"/>
      </w:rPr>
      <w:t>FOP Point à Point</w:t>
    </w:r>
  </w:p>
  <w:p w:rsidR="001D2FA1" w:rsidRPr="007B7464" w:rsidRDefault="007B7464" w:rsidP="007B7464">
    <w:pPr>
      <w:pStyle w:val="Pieddepage"/>
      <w:jc w:val="right"/>
      <w:rPr>
        <w:rFonts w:cs="Arial"/>
        <w:sz w:val="16"/>
        <w:szCs w:val="16"/>
      </w:rPr>
    </w:pPr>
    <w:r>
      <w:rPr>
        <w:rFonts w:cs="Arial"/>
        <w:sz w:val="16"/>
        <w:szCs w:val="16"/>
      </w:rPr>
      <w:t>Version juillet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F1C" w:rsidRDefault="008F4F1C">
      <w:pPr>
        <w:pStyle w:val="Pieddepage"/>
      </w:pPr>
      <w:r>
        <w:separator/>
      </w:r>
    </w:p>
  </w:footnote>
  <w:footnote w:type="continuationSeparator" w:id="0">
    <w:p w:rsidR="008F4F1C" w:rsidRDefault="008F4F1C">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90D" w:rsidRPr="00F96DFF" w:rsidRDefault="00D431C9" w:rsidP="00F96DFF">
    <w:pPr>
      <w:pStyle w:val="En-tte"/>
    </w:pPr>
    <w:r>
      <w:rPr>
        <w:noProof/>
      </w:rPr>
      <w:drawing>
        <wp:inline distT="0" distB="0" distL="0" distR="0">
          <wp:extent cx="1085850" cy="1085850"/>
          <wp:effectExtent l="0" t="0" r="0" b="0"/>
          <wp:docPr id="1" name="Image 1" descr="Logo-Yana-F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Yana-Fib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450E55"/>
    <w:multiLevelType w:val="hybridMultilevel"/>
    <w:tmpl w:val="D09A546E"/>
    <w:lvl w:ilvl="0" w:tplc="697C3648">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377E02"/>
    <w:multiLevelType w:val="hybridMultilevel"/>
    <w:tmpl w:val="3AB80E10"/>
    <w:lvl w:ilvl="0" w:tplc="C3A65DB4">
      <w:start w:val="1"/>
      <w:numFmt w:val="decimal"/>
      <w:lvlText w:val="%1."/>
      <w:lvlJc w:val="left"/>
      <w:pPr>
        <w:tabs>
          <w:tab w:val="num" w:pos="765"/>
        </w:tabs>
        <w:ind w:left="765" w:hanging="4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29973D1F"/>
    <w:multiLevelType w:val="hybridMultilevel"/>
    <w:tmpl w:val="B1F0E51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757EF970">
      <w:numFmt w:val="bullet"/>
      <w:lvlText w:val="-"/>
      <w:lvlJc w:val="left"/>
      <w:pPr>
        <w:tabs>
          <w:tab w:val="num" w:pos="2325"/>
        </w:tabs>
        <w:ind w:left="2325" w:hanging="885"/>
      </w:pPr>
      <w:rPr>
        <w:rFonts w:ascii="Arial" w:eastAsia="Times New Roman" w:hAnsi="Aria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9C34A67"/>
    <w:multiLevelType w:val="hybridMultilevel"/>
    <w:tmpl w:val="DB9C8B0A"/>
    <w:lvl w:ilvl="0" w:tplc="2C2AC30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13728"/>
    <w:multiLevelType w:val="singleLevel"/>
    <w:tmpl w:val="5D0E7548"/>
    <w:lvl w:ilvl="0">
      <w:start w:val="1"/>
      <w:numFmt w:val="bullet"/>
      <w:pStyle w:val="Textenum"/>
      <w:lvlText w:val=""/>
      <w:lvlJc w:val="left"/>
      <w:pPr>
        <w:tabs>
          <w:tab w:val="num" w:pos="360"/>
        </w:tabs>
        <w:ind w:left="340" w:hanging="340"/>
      </w:pPr>
      <w:rPr>
        <w:rFonts w:ascii="Symbol" w:hAnsi="Symbol" w:hint="default"/>
      </w:rPr>
    </w:lvl>
  </w:abstractNum>
  <w:abstractNum w:abstractNumId="7" w15:restartNumberingAfterBreak="0">
    <w:nsid w:val="382119CB"/>
    <w:multiLevelType w:val="hybridMultilevel"/>
    <w:tmpl w:val="BB26220E"/>
    <w:lvl w:ilvl="0" w:tplc="CDFCC40C">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BF539B"/>
    <w:multiLevelType w:val="multilevel"/>
    <w:tmpl w:val="07C4622A"/>
    <w:lvl w:ilvl="0">
      <w:start w:val="1"/>
      <w:numFmt w:val="decimal"/>
      <w:lvlText w:val="%1"/>
      <w:lvlJc w:val="left"/>
      <w:pPr>
        <w:tabs>
          <w:tab w:val="num" w:pos="432"/>
        </w:tabs>
        <w:ind w:left="432" w:hanging="432"/>
      </w:pPr>
      <w:rPr>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4CD3B9C"/>
    <w:multiLevelType w:val="multilevel"/>
    <w:tmpl w:val="019ADEB4"/>
    <w:lvl w:ilvl="0">
      <w:start w:val="1"/>
      <w:numFmt w:val="decimal"/>
      <w:pStyle w:val="Titre1"/>
      <w:suff w:val="space"/>
      <w:lvlText w:val="article %1 -"/>
      <w:lvlJc w:val="left"/>
      <w:pPr>
        <w:ind w:left="0" w:firstLine="0"/>
      </w:pPr>
      <w:rPr>
        <w:rFonts w:hint="default"/>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10" w15:restartNumberingAfterBreak="0">
    <w:nsid w:val="4B5E1D29"/>
    <w:multiLevelType w:val="hybridMultilevel"/>
    <w:tmpl w:val="E1B47B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EB70D6"/>
    <w:multiLevelType w:val="hybridMultilevel"/>
    <w:tmpl w:val="1B3E81E2"/>
    <w:lvl w:ilvl="0" w:tplc="040C0005">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12" w15:restartNumberingAfterBreak="0">
    <w:nsid w:val="725B4E2D"/>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789F49F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num>
  <w:num w:numId="2">
    <w:abstractNumId w:val="5"/>
  </w:num>
  <w:num w:numId="3">
    <w:abstractNumId w:val="0"/>
  </w:num>
  <w:num w:numId="4">
    <w:abstractNumId w:val="3"/>
  </w:num>
  <w:num w:numId="5">
    <w:abstractNumId w:val="6"/>
  </w:num>
  <w:num w:numId="6">
    <w:abstractNumId w:val="1"/>
  </w:num>
  <w:num w:numId="7">
    <w:abstractNumId w:val="10"/>
  </w:num>
  <w:num w:numId="8">
    <w:abstractNumId w:val="8"/>
  </w:num>
  <w:num w:numId="9">
    <w:abstractNumId w:val="2"/>
  </w:num>
  <w:num w:numId="10">
    <w:abstractNumId w:val="13"/>
  </w:num>
  <w:num w:numId="11">
    <w:abstractNumId w:val="12"/>
  </w:num>
  <w:num w:numId="12">
    <w:abstractNumId w:val="11"/>
  </w:num>
  <w:num w:numId="13">
    <w:abstractNumId w:val="4"/>
  </w:num>
  <w:num w:numId="1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1"/>
    <w:rsid w:val="00002764"/>
    <w:rsid w:val="000059CF"/>
    <w:rsid w:val="00007FA9"/>
    <w:rsid w:val="00017DD7"/>
    <w:rsid w:val="00023A2B"/>
    <w:rsid w:val="00026801"/>
    <w:rsid w:val="000335F5"/>
    <w:rsid w:val="00047250"/>
    <w:rsid w:val="00054B5B"/>
    <w:rsid w:val="00055231"/>
    <w:rsid w:val="00056C46"/>
    <w:rsid w:val="00057280"/>
    <w:rsid w:val="00060834"/>
    <w:rsid w:val="00060A48"/>
    <w:rsid w:val="00060CFD"/>
    <w:rsid w:val="0006118C"/>
    <w:rsid w:val="0006369C"/>
    <w:rsid w:val="00067AA2"/>
    <w:rsid w:val="0007123B"/>
    <w:rsid w:val="00072DE3"/>
    <w:rsid w:val="00075539"/>
    <w:rsid w:val="00077029"/>
    <w:rsid w:val="00082697"/>
    <w:rsid w:val="00084782"/>
    <w:rsid w:val="00084B82"/>
    <w:rsid w:val="0008587D"/>
    <w:rsid w:val="0009080E"/>
    <w:rsid w:val="00090FE8"/>
    <w:rsid w:val="00095B1E"/>
    <w:rsid w:val="000A2008"/>
    <w:rsid w:val="000A3D21"/>
    <w:rsid w:val="000A4506"/>
    <w:rsid w:val="000A6CF9"/>
    <w:rsid w:val="000A7A40"/>
    <w:rsid w:val="000B052B"/>
    <w:rsid w:val="000B4F46"/>
    <w:rsid w:val="000C3814"/>
    <w:rsid w:val="000D1823"/>
    <w:rsid w:val="000D3810"/>
    <w:rsid w:val="000D61DA"/>
    <w:rsid w:val="000D639E"/>
    <w:rsid w:val="000D7CFF"/>
    <w:rsid w:val="000E06A0"/>
    <w:rsid w:val="000E3444"/>
    <w:rsid w:val="000E3D55"/>
    <w:rsid w:val="000E3FE0"/>
    <w:rsid w:val="000E7A19"/>
    <w:rsid w:val="000F181B"/>
    <w:rsid w:val="000F46CA"/>
    <w:rsid w:val="000F4F18"/>
    <w:rsid w:val="000F74BF"/>
    <w:rsid w:val="00100093"/>
    <w:rsid w:val="001003D0"/>
    <w:rsid w:val="00115498"/>
    <w:rsid w:val="00115D24"/>
    <w:rsid w:val="00121EAB"/>
    <w:rsid w:val="001302CC"/>
    <w:rsid w:val="001308F4"/>
    <w:rsid w:val="001345D5"/>
    <w:rsid w:val="00134EC4"/>
    <w:rsid w:val="00136CCE"/>
    <w:rsid w:val="00137107"/>
    <w:rsid w:val="001408A3"/>
    <w:rsid w:val="00140BFF"/>
    <w:rsid w:val="001443B2"/>
    <w:rsid w:val="00153713"/>
    <w:rsid w:val="00154FC6"/>
    <w:rsid w:val="001608D3"/>
    <w:rsid w:val="00161419"/>
    <w:rsid w:val="00163E34"/>
    <w:rsid w:val="0017108C"/>
    <w:rsid w:val="00172E03"/>
    <w:rsid w:val="00173C30"/>
    <w:rsid w:val="00174215"/>
    <w:rsid w:val="00174EAE"/>
    <w:rsid w:val="001752CC"/>
    <w:rsid w:val="001773A3"/>
    <w:rsid w:val="00183B5C"/>
    <w:rsid w:val="00192B8C"/>
    <w:rsid w:val="001938F1"/>
    <w:rsid w:val="0019516D"/>
    <w:rsid w:val="00196000"/>
    <w:rsid w:val="001A45D2"/>
    <w:rsid w:val="001A4F1D"/>
    <w:rsid w:val="001A5AFB"/>
    <w:rsid w:val="001A7301"/>
    <w:rsid w:val="001B044C"/>
    <w:rsid w:val="001B0BF3"/>
    <w:rsid w:val="001B20EB"/>
    <w:rsid w:val="001B7CD2"/>
    <w:rsid w:val="001C354B"/>
    <w:rsid w:val="001C51CA"/>
    <w:rsid w:val="001D2FA1"/>
    <w:rsid w:val="001D36D7"/>
    <w:rsid w:val="001D49AF"/>
    <w:rsid w:val="001E0320"/>
    <w:rsid w:val="001E0E52"/>
    <w:rsid w:val="001E1F4B"/>
    <w:rsid w:val="001E35C2"/>
    <w:rsid w:val="001E4B18"/>
    <w:rsid w:val="001F49D0"/>
    <w:rsid w:val="001F5D12"/>
    <w:rsid w:val="001F62C6"/>
    <w:rsid w:val="001F6B8C"/>
    <w:rsid w:val="001F77BE"/>
    <w:rsid w:val="0020597B"/>
    <w:rsid w:val="00206DEE"/>
    <w:rsid w:val="002079D4"/>
    <w:rsid w:val="00212B07"/>
    <w:rsid w:val="00212F53"/>
    <w:rsid w:val="00213ECD"/>
    <w:rsid w:val="002144B4"/>
    <w:rsid w:val="00216320"/>
    <w:rsid w:val="00217873"/>
    <w:rsid w:val="00227A1C"/>
    <w:rsid w:val="00232960"/>
    <w:rsid w:val="002338F6"/>
    <w:rsid w:val="002417CD"/>
    <w:rsid w:val="002554E9"/>
    <w:rsid w:val="0025645D"/>
    <w:rsid w:val="00264198"/>
    <w:rsid w:val="00264E11"/>
    <w:rsid w:val="002659A0"/>
    <w:rsid w:val="00270FCB"/>
    <w:rsid w:val="002754B6"/>
    <w:rsid w:val="00277B33"/>
    <w:rsid w:val="00281761"/>
    <w:rsid w:val="002875FA"/>
    <w:rsid w:val="002924DD"/>
    <w:rsid w:val="002967C0"/>
    <w:rsid w:val="002975FD"/>
    <w:rsid w:val="002A12F0"/>
    <w:rsid w:val="002A1BAF"/>
    <w:rsid w:val="002A5D70"/>
    <w:rsid w:val="002A6A83"/>
    <w:rsid w:val="002B2DB8"/>
    <w:rsid w:val="002B40B4"/>
    <w:rsid w:val="002B533D"/>
    <w:rsid w:val="002C0424"/>
    <w:rsid w:val="002C5727"/>
    <w:rsid w:val="002C6185"/>
    <w:rsid w:val="002D6FF7"/>
    <w:rsid w:val="002D79EA"/>
    <w:rsid w:val="002E58EE"/>
    <w:rsid w:val="002F29C4"/>
    <w:rsid w:val="002F5303"/>
    <w:rsid w:val="002F7E50"/>
    <w:rsid w:val="00306BCB"/>
    <w:rsid w:val="00313FAB"/>
    <w:rsid w:val="00317775"/>
    <w:rsid w:val="0032253C"/>
    <w:rsid w:val="00323BA9"/>
    <w:rsid w:val="00331E06"/>
    <w:rsid w:val="003351F3"/>
    <w:rsid w:val="00335371"/>
    <w:rsid w:val="003374EC"/>
    <w:rsid w:val="00340513"/>
    <w:rsid w:val="00343F80"/>
    <w:rsid w:val="00347911"/>
    <w:rsid w:val="00347E9E"/>
    <w:rsid w:val="00353C2D"/>
    <w:rsid w:val="00354A1F"/>
    <w:rsid w:val="0036041D"/>
    <w:rsid w:val="00360E65"/>
    <w:rsid w:val="0036347B"/>
    <w:rsid w:val="00365078"/>
    <w:rsid w:val="00367777"/>
    <w:rsid w:val="00372753"/>
    <w:rsid w:val="003739D4"/>
    <w:rsid w:val="00373B1F"/>
    <w:rsid w:val="003760CD"/>
    <w:rsid w:val="00377C4E"/>
    <w:rsid w:val="0039116C"/>
    <w:rsid w:val="00391829"/>
    <w:rsid w:val="003925FE"/>
    <w:rsid w:val="00393F68"/>
    <w:rsid w:val="003941AA"/>
    <w:rsid w:val="00394BF5"/>
    <w:rsid w:val="00395E45"/>
    <w:rsid w:val="003A5CF4"/>
    <w:rsid w:val="003A6C69"/>
    <w:rsid w:val="003B342A"/>
    <w:rsid w:val="003B3502"/>
    <w:rsid w:val="003B466A"/>
    <w:rsid w:val="003B4FDD"/>
    <w:rsid w:val="003C0331"/>
    <w:rsid w:val="003C1453"/>
    <w:rsid w:val="003C57CD"/>
    <w:rsid w:val="003D04B8"/>
    <w:rsid w:val="003E0C89"/>
    <w:rsid w:val="003E1160"/>
    <w:rsid w:val="003E168A"/>
    <w:rsid w:val="003F4209"/>
    <w:rsid w:val="003F4675"/>
    <w:rsid w:val="00400B15"/>
    <w:rsid w:val="004010D5"/>
    <w:rsid w:val="004022B5"/>
    <w:rsid w:val="0040333C"/>
    <w:rsid w:val="0040488F"/>
    <w:rsid w:val="004056B7"/>
    <w:rsid w:val="00407077"/>
    <w:rsid w:val="00410D94"/>
    <w:rsid w:val="00413689"/>
    <w:rsid w:val="00420582"/>
    <w:rsid w:val="004206A7"/>
    <w:rsid w:val="0042516D"/>
    <w:rsid w:val="004335BC"/>
    <w:rsid w:val="00435D66"/>
    <w:rsid w:val="004407E5"/>
    <w:rsid w:val="00441628"/>
    <w:rsid w:val="00443EF2"/>
    <w:rsid w:val="00450091"/>
    <w:rsid w:val="004503CF"/>
    <w:rsid w:val="0045232D"/>
    <w:rsid w:val="004524C3"/>
    <w:rsid w:val="00455907"/>
    <w:rsid w:val="004574DA"/>
    <w:rsid w:val="004617AF"/>
    <w:rsid w:val="004625A7"/>
    <w:rsid w:val="00463C4B"/>
    <w:rsid w:val="0046417E"/>
    <w:rsid w:val="00465DC1"/>
    <w:rsid w:val="00480686"/>
    <w:rsid w:val="00482E11"/>
    <w:rsid w:val="004845B6"/>
    <w:rsid w:val="00486719"/>
    <w:rsid w:val="004903AA"/>
    <w:rsid w:val="00492BAE"/>
    <w:rsid w:val="004A2ADC"/>
    <w:rsid w:val="004A38A3"/>
    <w:rsid w:val="004A5AAA"/>
    <w:rsid w:val="004A6846"/>
    <w:rsid w:val="004A7E24"/>
    <w:rsid w:val="004B26A1"/>
    <w:rsid w:val="004B3A0A"/>
    <w:rsid w:val="004B5093"/>
    <w:rsid w:val="004B728B"/>
    <w:rsid w:val="004D3BCB"/>
    <w:rsid w:val="004D5690"/>
    <w:rsid w:val="004D615D"/>
    <w:rsid w:val="004D63C0"/>
    <w:rsid w:val="004E5C96"/>
    <w:rsid w:val="004E7B4E"/>
    <w:rsid w:val="00502ECF"/>
    <w:rsid w:val="0050592E"/>
    <w:rsid w:val="00507A9A"/>
    <w:rsid w:val="00511FFC"/>
    <w:rsid w:val="0051299F"/>
    <w:rsid w:val="00512F14"/>
    <w:rsid w:val="00513E4C"/>
    <w:rsid w:val="00517EE8"/>
    <w:rsid w:val="00521D9A"/>
    <w:rsid w:val="005222FB"/>
    <w:rsid w:val="00523FFC"/>
    <w:rsid w:val="00542C5C"/>
    <w:rsid w:val="00543666"/>
    <w:rsid w:val="00547806"/>
    <w:rsid w:val="005526E1"/>
    <w:rsid w:val="0055690A"/>
    <w:rsid w:val="005571A4"/>
    <w:rsid w:val="005577B6"/>
    <w:rsid w:val="00560B4D"/>
    <w:rsid w:val="00560FF2"/>
    <w:rsid w:val="0056181A"/>
    <w:rsid w:val="005647A7"/>
    <w:rsid w:val="005647FF"/>
    <w:rsid w:val="005664A9"/>
    <w:rsid w:val="00570592"/>
    <w:rsid w:val="00574834"/>
    <w:rsid w:val="00576544"/>
    <w:rsid w:val="00577015"/>
    <w:rsid w:val="00584432"/>
    <w:rsid w:val="00587880"/>
    <w:rsid w:val="005903D9"/>
    <w:rsid w:val="00590CE2"/>
    <w:rsid w:val="00596ADA"/>
    <w:rsid w:val="005A0093"/>
    <w:rsid w:val="005A45B6"/>
    <w:rsid w:val="005A4A0B"/>
    <w:rsid w:val="005A6DCA"/>
    <w:rsid w:val="005A6F20"/>
    <w:rsid w:val="005A7C00"/>
    <w:rsid w:val="005B32E1"/>
    <w:rsid w:val="005C57DF"/>
    <w:rsid w:val="005C752D"/>
    <w:rsid w:val="005D16AA"/>
    <w:rsid w:val="005D1CA9"/>
    <w:rsid w:val="005D2045"/>
    <w:rsid w:val="005E161C"/>
    <w:rsid w:val="005E1F33"/>
    <w:rsid w:val="005E38C8"/>
    <w:rsid w:val="005E473C"/>
    <w:rsid w:val="005E623C"/>
    <w:rsid w:val="005E7DB9"/>
    <w:rsid w:val="005F0473"/>
    <w:rsid w:val="005F0971"/>
    <w:rsid w:val="005F3F51"/>
    <w:rsid w:val="005F4482"/>
    <w:rsid w:val="005F53D6"/>
    <w:rsid w:val="00600A0E"/>
    <w:rsid w:val="00600D43"/>
    <w:rsid w:val="006078F2"/>
    <w:rsid w:val="0061390D"/>
    <w:rsid w:val="00620BF5"/>
    <w:rsid w:val="006238B3"/>
    <w:rsid w:val="0062516C"/>
    <w:rsid w:val="00625710"/>
    <w:rsid w:val="00625834"/>
    <w:rsid w:val="00632B1A"/>
    <w:rsid w:val="0063308D"/>
    <w:rsid w:val="00635AB2"/>
    <w:rsid w:val="00636E3A"/>
    <w:rsid w:val="00640637"/>
    <w:rsid w:val="00644CCE"/>
    <w:rsid w:val="006452B5"/>
    <w:rsid w:val="00646165"/>
    <w:rsid w:val="00654C43"/>
    <w:rsid w:val="0066050C"/>
    <w:rsid w:val="0066297C"/>
    <w:rsid w:val="006661FD"/>
    <w:rsid w:val="00667016"/>
    <w:rsid w:val="006850F8"/>
    <w:rsid w:val="00687FBF"/>
    <w:rsid w:val="00690015"/>
    <w:rsid w:val="00693CE4"/>
    <w:rsid w:val="006948C2"/>
    <w:rsid w:val="006954DE"/>
    <w:rsid w:val="006A1DCE"/>
    <w:rsid w:val="006A4447"/>
    <w:rsid w:val="006A59CA"/>
    <w:rsid w:val="006A5B0C"/>
    <w:rsid w:val="006A6160"/>
    <w:rsid w:val="006A62DB"/>
    <w:rsid w:val="006B0066"/>
    <w:rsid w:val="006B76CA"/>
    <w:rsid w:val="006C4193"/>
    <w:rsid w:val="006D0B60"/>
    <w:rsid w:val="006D6881"/>
    <w:rsid w:val="006E0683"/>
    <w:rsid w:val="006E1233"/>
    <w:rsid w:val="006E2BEB"/>
    <w:rsid w:val="006E3108"/>
    <w:rsid w:val="006E58E4"/>
    <w:rsid w:val="006F270D"/>
    <w:rsid w:val="006F40E7"/>
    <w:rsid w:val="00700956"/>
    <w:rsid w:val="007019CB"/>
    <w:rsid w:val="00702EE0"/>
    <w:rsid w:val="00713109"/>
    <w:rsid w:val="00714256"/>
    <w:rsid w:val="007160D7"/>
    <w:rsid w:val="00716609"/>
    <w:rsid w:val="00721C57"/>
    <w:rsid w:val="00727E7A"/>
    <w:rsid w:val="00731774"/>
    <w:rsid w:val="00732779"/>
    <w:rsid w:val="007335D2"/>
    <w:rsid w:val="00736F4B"/>
    <w:rsid w:val="00741169"/>
    <w:rsid w:val="007446BA"/>
    <w:rsid w:val="007518B4"/>
    <w:rsid w:val="007521A5"/>
    <w:rsid w:val="007530EA"/>
    <w:rsid w:val="00761393"/>
    <w:rsid w:val="00764084"/>
    <w:rsid w:val="0076636B"/>
    <w:rsid w:val="007668E5"/>
    <w:rsid w:val="00766D94"/>
    <w:rsid w:val="007709CD"/>
    <w:rsid w:val="00772C02"/>
    <w:rsid w:val="007746C4"/>
    <w:rsid w:val="00777F52"/>
    <w:rsid w:val="0078474D"/>
    <w:rsid w:val="00790D77"/>
    <w:rsid w:val="007952E1"/>
    <w:rsid w:val="007A5280"/>
    <w:rsid w:val="007A72D8"/>
    <w:rsid w:val="007B5889"/>
    <w:rsid w:val="007B7464"/>
    <w:rsid w:val="007C0599"/>
    <w:rsid w:val="007C5693"/>
    <w:rsid w:val="007C6D9E"/>
    <w:rsid w:val="007D1671"/>
    <w:rsid w:val="007D3C31"/>
    <w:rsid w:val="007D4F53"/>
    <w:rsid w:val="007D6AAD"/>
    <w:rsid w:val="007E7407"/>
    <w:rsid w:val="007F0F85"/>
    <w:rsid w:val="007F17BB"/>
    <w:rsid w:val="007F470F"/>
    <w:rsid w:val="007F5DFA"/>
    <w:rsid w:val="007F792B"/>
    <w:rsid w:val="007F7EE6"/>
    <w:rsid w:val="00800FC3"/>
    <w:rsid w:val="008021A7"/>
    <w:rsid w:val="0080419F"/>
    <w:rsid w:val="00812892"/>
    <w:rsid w:val="00812FAA"/>
    <w:rsid w:val="00821FE6"/>
    <w:rsid w:val="008222AB"/>
    <w:rsid w:val="00826B6B"/>
    <w:rsid w:val="00827FB7"/>
    <w:rsid w:val="008309B2"/>
    <w:rsid w:val="00840542"/>
    <w:rsid w:val="0084123D"/>
    <w:rsid w:val="0084161B"/>
    <w:rsid w:val="008417A1"/>
    <w:rsid w:val="00842E5F"/>
    <w:rsid w:val="00845853"/>
    <w:rsid w:val="00847981"/>
    <w:rsid w:val="008500FD"/>
    <w:rsid w:val="00850ED7"/>
    <w:rsid w:val="008531F2"/>
    <w:rsid w:val="008607DF"/>
    <w:rsid w:val="00861FC6"/>
    <w:rsid w:val="008635E0"/>
    <w:rsid w:val="00871179"/>
    <w:rsid w:val="00874409"/>
    <w:rsid w:val="00875BC0"/>
    <w:rsid w:val="00892329"/>
    <w:rsid w:val="00894767"/>
    <w:rsid w:val="008B17D7"/>
    <w:rsid w:val="008C0732"/>
    <w:rsid w:val="008C0A30"/>
    <w:rsid w:val="008C1B3C"/>
    <w:rsid w:val="008C43F7"/>
    <w:rsid w:val="008C526E"/>
    <w:rsid w:val="008C76E2"/>
    <w:rsid w:val="008D4F20"/>
    <w:rsid w:val="008D505C"/>
    <w:rsid w:val="008D5454"/>
    <w:rsid w:val="008D77DF"/>
    <w:rsid w:val="008E0664"/>
    <w:rsid w:val="008E0A42"/>
    <w:rsid w:val="008E16DB"/>
    <w:rsid w:val="008E22EF"/>
    <w:rsid w:val="008E4EAA"/>
    <w:rsid w:val="008F2B69"/>
    <w:rsid w:val="008F2D27"/>
    <w:rsid w:val="008F4F1C"/>
    <w:rsid w:val="00903A15"/>
    <w:rsid w:val="00914699"/>
    <w:rsid w:val="00917F90"/>
    <w:rsid w:val="00920C3E"/>
    <w:rsid w:val="009222D5"/>
    <w:rsid w:val="00922BBE"/>
    <w:rsid w:val="0092498E"/>
    <w:rsid w:val="009259C5"/>
    <w:rsid w:val="00925EF9"/>
    <w:rsid w:val="00927E0C"/>
    <w:rsid w:val="00930371"/>
    <w:rsid w:val="0093269C"/>
    <w:rsid w:val="0093291D"/>
    <w:rsid w:val="00933902"/>
    <w:rsid w:val="00937FEB"/>
    <w:rsid w:val="00947345"/>
    <w:rsid w:val="00952DCF"/>
    <w:rsid w:val="00953B8F"/>
    <w:rsid w:val="009572CC"/>
    <w:rsid w:val="0096112F"/>
    <w:rsid w:val="00961E48"/>
    <w:rsid w:val="00977F9D"/>
    <w:rsid w:val="00977FB1"/>
    <w:rsid w:val="00981967"/>
    <w:rsid w:val="00985910"/>
    <w:rsid w:val="00986129"/>
    <w:rsid w:val="00986B76"/>
    <w:rsid w:val="00986C24"/>
    <w:rsid w:val="00990526"/>
    <w:rsid w:val="009924D8"/>
    <w:rsid w:val="00993670"/>
    <w:rsid w:val="009A20D8"/>
    <w:rsid w:val="009A7FC7"/>
    <w:rsid w:val="009C4DA3"/>
    <w:rsid w:val="009C7B27"/>
    <w:rsid w:val="009D018E"/>
    <w:rsid w:val="009E2574"/>
    <w:rsid w:val="009E4158"/>
    <w:rsid w:val="009E5548"/>
    <w:rsid w:val="009F70D9"/>
    <w:rsid w:val="009F7BD0"/>
    <w:rsid w:val="00A00D4D"/>
    <w:rsid w:val="00A032D9"/>
    <w:rsid w:val="00A06846"/>
    <w:rsid w:val="00A07B1F"/>
    <w:rsid w:val="00A104E2"/>
    <w:rsid w:val="00A1154F"/>
    <w:rsid w:val="00A116DA"/>
    <w:rsid w:val="00A1340B"/>
    <w:rsid w:val="00A15E5C"/>
    <w:rsid w:val="00A162F1"/>
    <w:rsid w:val="00A16C05"/>
    <w:rsid w:val="00A20A7F"/>
    <w:rsid w:val="00A30593"/>
    <w:rsid w:val="00A31F8B"/>
    <w:rsid w:val="00A35C37"/>
    <w:rsid w:val="00A528E5"/>
    <w:rsid w:val="00A52BF7"/>
    <w:rsid w:val="00A543CA"/>
    <w:rsid w:val="00A54910"/>
    <w:rsid w:val="00A735AF"/>
    <w:rsid w:val="00A77EBB"/>
    <w:rsid w:val="00A86197"/>
    <w:rsid w:val="00A95163"/>
    <w:rsid w:val="00A951BE"/>
    <w:rsid w:val="00A96E77"/>
    <w:rsid w:val="00AA2129"/>
    <w:rsid w:val="00AA2928"/>
    <w:rsid w:val="00AA2F8D"/>
    <w:rsid w:val="00AA462C"/>
    <w:rsid w:val="00AA5C6C"/>
    <w:rsid w:val="00AA5F5A"/>
    <w:rsid w:val="00AA6067"/>
    <w:rsid w:val="00AA6B20"/>
    <w:rsid w:val="00AB2691"/>
    <w:rsid w:val="00AB66D7"/>
    <w:rsid w:val="00AC2CCC"/>
    <w:rsid w:val="00AC3531"/>
    <w:rsid w:val="00AC3BBE"/>
    <w:rsid w:val="00AE12CB"/>
    <w:rsid w:val="00AE1410"/>
    <w:rsid w:val="00AE2012"/>
    <w:rsid w:val="00AE5E3A"/>
    <w:rsid w:val="00AF71A7"/>
    <w:rsid w:val="00B055F2"/>
    <w:rsid w:val="00B06D1E"/>
    <w:rsid w:val="00B127B7"/>
    <w:rsid w:val="00B13DD5"/>
    <w:rsid w:val="00B222C5"/>
    <w:rsid w:val="00B22C08"/>
    <w:rsid w:val="00B251D2"/>
    <w:rsid w:val="00B270F8"/>
    <w:rsid w:val="00B27D95"/>
    <w:rsid w:val="00B30E99"/>
    <w:rsid w:val="00B31F4A"/>
    <w:rsid w:val="00B3532D"/>
    <w:rsid w:val="00B36125"/>
    <w:rsid w:val="00B371C2"/>
    <w:rsid w:val="00B37FEC"/>
    <w:rsid w:val="00B40867"/>
    <w:rsid w:val="00B4488A"/>
    <w:rsid w:val="00B44B9A"/>
    <w:rsid w:val="00B46163"/>
    <w:rsid w:val="00B52586"/>
    <w:rsid w:val="00B5489C"/>
    <w:rsid w:val="00B604F8"/>
    <w:rsid w:val="00B71AEC"/>
    <w:rsid w:val="00B74269"/>
    <w:rsid w:val="00B77B00"/>
    <w:rsid w:val="00B84ADB"/>
    <w:rsid w:val="00B87D78"/>
    <w:rsid w:val="00B96817"/>
    <w:rsid w:val="00B97CAF"/>
    <w:rsid w:val="00BA1AAA"/>
    <w:rsid w:val="00BB4D04"/>
    <w:rsid w:val="00BB4FE8"/>
    <w:rsid w:val="00BB6451"/>
    <w:rsid w:val="00BC0FB0"/>
    <w:rsid w:val="00BC4057"/>
    <w:rsid w:val="00BC64BD"/>
    <w:rsid w:val="00BD27C6"/>
    <w:rsid w:val="00BD290C"/>
    <w:rsid w:val="00BD76A0"/>
    <w:rsid w:val="00BD775A"/>
    <w:rsid w:val="00BE03AB"/>
    <w:rsid w:val="00BE481C"/>
    <w:rsid w:val="00BF3DE3"/>
    <w:rsid w:val="00BF78F1"/>
    <w:rsid w:val="00C0525D"/>
    <w:rsid w:val="00C05F73"/>
    <w:rsid w:val="00C10626"/>
    <w:rsid w:val="00C12A8F"/>
    <w:rsid w:val="00C15C64"/>
    <w:rsid w:val="00C219BF"/>
    <w:rsid w:val="00C21E87"/>
    <w:rsid w:val="00C22242"/>
    <w:rsid w:val="00C25774"/>
    <w:rsid w:val="00C26C5C"/>
    <w:rsid w:val="00C35DA0"/>
    <w:rsid w:val="00C36BF1"/>
    <w:rsid w:val="00C43600"/>
    <w:rsid w:val="00C45BAA"/>
    <w:rsid w:val="00C51EE7"/>
    <w:rsid w:val="00C54D38"/>
    <w:rsid w:val="00C557DC"/>
    <w:rsid w:val="00C567A4"/>
    <w:rsid w:val="00C611EB"/>
    <w:rsid w:val="00C616BF"/>
    <w:rsid w:val="00C618B3"/>
    <w:rsid w:val="00C63AAC"/>
    <w:rsid w:val="00C65291"/>
    <w:rsid w:val="00C654E5"/>
    <w:rsid w:val="00C72895"/>
    <w:rsid w:val="00C73A54"/>
    <w:rsid w:val="00C86F82"/>
    <w:rsid w:val="00C91C2F"/>
    <w:rsid w:val="00C92283"/>
    <w:rsid w:val="00C9343B"/>
    <w:rsid w:val="00C972AB"/>
    <w:rsid w:val="00CA3B8D"/>
    <w:rsid w:val="00CA446F"/>
    <w:rsid w:val="00CA6C81"/>
    <w:rsid w:val="00CB3088"/>
    <w:rsid w:val="00CB6946"/>
    <w:rsid w:val="00CC640F"/>
    <w:rsid w:val="00CD3009"/>
    <w:rsid w:val="00CD3269"/>
    <w:rsid w:val="00CD50F6"/>
    <w:rsid w:val="00CD7C30"/>
    <w:rsid w:val="00CD7E62"/>
    <w:rsid w:val="00CE249A"/>
    <w:rsid w:val="00CE29FA"/>
    <w:rsid w:val="00CE3BFB"/>
    <w:rsid w:val="00CE40BB"/>
    <w:rsid w:val="00CE62B5"/>
    <w:rsid w:val="00CF089A"/>
    <w:rsid w:val="00CF2751"/>
    <w:rsid w:val="00CF6AB9"/>
    <w:rsid w:val="00CF74CE"/>
    <w:rsid w:val="00D00D8B"/>
    <w:rsid w:val="00D018E4"/>
    <w:rsid w:val="00D03641"/>
    <w:rsid w:val="00D0533F"/>
    <w:rsid w:val="00D079D4"/>
    <w:rsid w:val="00D07E03"/>
    <w:rsid w:val="00D132C6"/>
    <w:rsid w:val="00D1492E"/>
    <w:rsid w:val="00D2165D"/>
    <w:rsid w:val="00D21D7C"/>
    <w:rsid w:val="00D21FF8"/>
    <w:rsid w:val="00D26449"/>
    <w:rsid w:val="00D266D1"/>
    <w:rsid w:val="00D3149A"/>
    <w:rsid w:val="00D36315"/>
    <w:rsid w:val="00D366C4"/>
    <w:rsid w:val="00D4318D"/>
    <w:rsid w:val="00D431C9"/>
    <w:rsid w:val="00D44011"/>
    <w:rsid w:val="00D468DF"/>
    <w:rsid w:val="00D62321"/>
    <w:rsid w:val="00D63E3F"/>
    <w:rsid w:val="00D6710D"/>
    <w:rsid w:val="00D70109"/>
    <w:rsid w:val="00D736FA"/>
    <w:rsid w:val="00D74E91"/>
    <w:rsid w:val="00D767B2"/>
    <w:rsid w:val="00D82907"/>
    <w:rsid w:val="00D853B0"/>
    <w:rsid w:val="00D8738F"/>
    <w:rsid w:val="00D90050"/>
    <w:rsid w:val="00D93847"/>
    <w:rsid w:val="00D94A53"/>
    <w:rsid w:val="00D952C6"/>
    <w:rsid w:val="00DA6144"/>
    <w:rsid w:val="00DB00CE"/>
    <w:rsid w:val="00DC0778"/>
    <w:rsid w:val="00DC3288"/>
    <w:rsid w:val="00DC37C1"/>
    <w:rsid w:val="00DC6F48"/>
    <w:rsid w:val="00DD0026"/>
    <w:rsid w:val="00DD1D52"/>
    <w:rsid w:val="00DE15D4"/>
    <w:rsid w:val="00DE2443"/>
    <w:rsid w:val="00DE4E27"/>
    <w:rsid w:val="00DE66E2"/>
    <w:rsid w:val="00DE6F93"/>
    <w:rsid w:val="00DE73F5"/>
    <w:rsid w:val="00DF0815"/>
    <w:rsid w:val="00DF33B5"/>
    <w:rsid w:val="00DF33C3"/>
    <w:rsid w:val="00DF6DD6"/>
    <w:rsid w:val="00DF6ED0"/>
    <w:rsid w:val="00E0584E"/>
    <w:rsid w:val="00E07421"/>
    <w:rsid w:val="00E11F51"/>
    <w:rsid w:val="00E123F0"/>
    <w:rsid w:val="00E13D1B"/>
    <w:rsid w:val="00E23300"/>
    <w:rsid w:val="00E30AC3"/>
    <w:rsid w:val="00E32B37"/>
    <w:rsid w:val="00E3367A"/>
    <w:rsid w:val="00E40C1E"/>
    <w:rsid w:val="00E41620"/>
    <w:rsid w:val="00E41A75"/>
    <w:rsid w:val="00E42854"/>
    <w:rsid w:val="00E43210"/>
    <w:rsid w:val="00E50FD3"/>
    <w:rsid w:val="00E51250"/>
    <w:rsid w:val="00E518CC"/>
    <w:rsid w:val="00E57C6D"/>
    <w:rsid w:val="00E6015A"/>
    <w:rsid w:val="00E61CEE"/>
    <w:rsid w:val="00E63D4A"/>
    <w:rsid w:val="00E701B0"/>
    <w:rsid w:val="00E729E2"/>
    <w:rsid w:val="00E75CBC"/>
    <w:rsid w:val="00E76681"/>
    <w:rsid w:val="00E82915"/>
    <w:rsid w:val="00E83ECD"/>
    <w:rsid w:val="00E84FC7"/>
    <w:rsid w:val="00E851FF"/>
    <w:rsid w:val="00E85887"/>
    <w:rsid w:val="00E86309"/>
    <w:rsid w:val="00E874C1"/>
    <w:rsid w:val="00E91B61"/>
    <w:rsid w:val="00E94FA4"/>
    <w:rsid w:val="00EA66E3"/>
    <w:rsid w:val="00EA6E92"/>
    <w:rsid w:val="00EB26A5"/>
    <w:rsid w:val="00EB3E6D"/>
    <w:rsid w:val="00EB416E"/>
    <w:rsid w:val="00EB4F4A"/>
    <w:rsid w:val="00EC0390"/>
    <w:rsid w:val="00EC10A3"/>
    <w:rsid w:val="00EC1A32"/>
    <w:rsid w:val="00EC2F3B"/>
    <w:rsid w:val="00EC5C4B"/>
    <w:rsid w:val="00EC6041"/>
    <w:rsid w:val="00EC61A7"/>
    <w:rsid w:val="00EC6B0D"/>
    <w:rsid w:val="00EC784D"/>
    <w:rsid w:val="00ED206F"/>
    <w:rsid w:val="00ED562C"/>
    <w:rsid w:val="00ED5E82"/>
    <w:rsid w:val="00EE32B5"/>
    <w:rsid w:val="00EE4F63"/>
    <w:rsid w:val="00EE7CB1"/>
    <w:rsid w:val="00EF367E"/>
    <w:rsid w:val="00EF3EFD"/>
    <w:rsid w:val="00F00B31"/>
    <w:rsid w:val="00F02CBC"/>
    <w:rsid w:val="00F07B13"/>
    <w:rsid w:val="00F11A9E"/>
    <w:rsid w:val="00F143F8"/>
    <w:rsid w:val="00F14472"/>
    <w:rsid w:val="00F20EBB"/>
    <w:rsid w:val="00F2118C"/>
    <w:rsid w:val="00F21EB1"/>
    <w:rsid w:val="00F24C46"/>
    <w:rsid w:val="00F313FD"/>
    <w:rsid w:val="00F3788C"/>
    <w:rsid w:val="00F40617"/>
    <w:rsid w:val="00F41CC1"/>
    <w:rsid w:val="00F471B3"/>
    <w:rsid w:val="00F50354"/>
    <w:rsid w:val="00F55887"/>
    <w:rsid w:val="00F55C44"/>
    <w:rsid w:val="00F6193E"/>
    <w:rsid w:val="00F647B6"/>
    <w:rsid w:val="00F649F5"/>
    <w:rsid w:val="00F67527"/>
    <w:rsid w:val="00F71AD4"/>
    <w:rsid w:val="00F7784A"/>
    <w:rsid w:val="00F82749"/>
    <w:rsid w:val="00F85D6E"/>
    <w:rsid w:val="00F87343"/>
    <w:rsid w:val="00F92271"/>
    <w:rsid w:val="00F96428"/>
    <w:rsid w:val="00F96DFF"/>
    <w:rsid w:val="00FA32D0"/>
    <w:rsid w:val="00FA334F"/>
    <w:rsid w:val="00FA3FE1"/>
    <w:rsid w:val="00FB1C24"/>
    <w:rsid w:val="00FB6B17"/>
    <w:rsid w:val="00FC4A83"/>
    <w:rsid w:val="00FC6983"/>
    <w:rsid w:val="00FD7674"/>
    <w:rsid w:val="00FE236E"/>
    <w:rsid w:val="00FF3E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5:chartTrackingRefBased/>
  <w15:docId w15:val="{90AA5E49-9BBD-44B6-9203-B9C0F0FD5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
      </w:numPr>
      <w:spacing w:before="120"/>
      <w:outlineLvl w:val="1"/>
    </w:pPr>
    <w:rPr>
      <w:rFonts w:cs="Arial"/>
      <w:bCs/>
      <w:iCs/>
      <w:color w:val="000000"/>
      <w:sz w:val="28"/>
      <w:szCs w:val="28"/>
    </w:rPr>
  </w:style>
  <w:style w:type="paragraph" w:styleId="Titre3">
    <w:name w:val="heading 3"/>
    <w:basedOn w:val="Normal"/>
    <w:next w:val="Texte"/>
    <w:qFormat/>
    <w:rsid w:val="00CD3269"/>
    <w:pPr>
      <w:keepNext/>
      <w:numPr>
        <w:ilvl w:val="2"/>
        <w:numId w:val="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lang w:val="fr-FR" w:eastAsia="fr-FR" w:bidi="ar-SA"/>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
      </w:num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892329"/>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892329"/>
    <w:rPr>
      <w:color w:val="0000FF"/>
      <w:u w:val="single"/>
    </w:rPr>
  </w:style>
  <w:style w:type="paragraph" w:customStyle="1" w:styleId="annexetitre">
    <w:name w:val="annexe_titre"/>
    <w:basedOn w:val="Normal"/>
    <w:next w:val="Text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BodyText2">
    <w:name w:val="Body Text 2"/>
    <w:basedOn w:val="Normal"/>
    <w:rsid w:val="00DE2443"/>
    <w:pPr>
      <w:jc w:val="both"/>
    </w:pPr>
    <w:rPr>
      <w:rFonts w:ascii="Arial" w:hAnsi="Arial"/>
      <w:sz w:val="22"/>
      <w:szCs w:val="20"/>
    </w:rPr>
  </w:style>
  <w:style w:type="paragraph" w:customStyle="1" w:styleId="Sommaireniveau1">
    <w:name w:val="Sommaire niveau 1"/>
    <w:basedOn w:val="StyleHelvetica55Roman18ptOrangeJustifi"/>
    <w:rsid w:val="00EC2F3B"/>
  </w:style>
  <w:style w:type="character" w:customStyle="1" w:styleId="StyleHelvetica55Roman20ptnoir">
    <w:name w:val="Style Helvetica 55 Roman 20 pt noir"/>
    <w:semiHidden/>
    <w:rsid w:val="00084B82"/>
    <w:rPr>
      <w:rFonts w:ascii="Helvetica 55 Roman" w:hAnsi="Helvetica 55 Roman"/>
      <w:sz w:val="40"/>
    </w:rPr>
  </w:style>
  <w:style w:type="paragraph" w:customStyle="1" w:styleId="CarCarCarCar">
    <w:name w:val="Car Car Car Car"/>
    <w:basedOn w:val="Explorateurdedocuments"/>
    <w:semiHidden/>
    <w:rsid w:val="00084B82"/>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18ptOrange">
    <w:name w:val="Style Helvetica 55 Roman 18 pt Orange"/>
    <w:semiHidden/>
    <w:rsid w:val="00084B82"/>
    <w:rPr>
      <w:rFonts w:ascii="Helvetica 55 Roman" w:hAnsi="Helvetica 55 Roman"/>
      <w:color w:val="FF6600"/>
      <w:sz w:val="36"/>
    </w:rPr>
  </w:style>
  <w:style w:type="table" w:styleId="Grilledutableau">
    <w:name w:val="Table Grid"/>
    <w:basedOn w:val="TableauNormal"/>
    <w:semiHidden/>
    <w:rsid w:val="00084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4">
    <w:name w:val="List Bullet 4"/>
    <w:basedOn w:val="Normal"/>
    <w:semiHidden/>
    <w:rsid w:val="00084B82"/>
    <w:pPr>
      <w:tabs>
        <w:tab w:val="num" w:pos="1209"/>
      </w:tabs>
      <w:ind w:left="1209" w:hanging="360"/>
    </w:pPr>
    <w:rPr>
      <w:rFonts w:ascii="Times New Roman" w:hAnsi="Times New Roman"/>
      <w:sz w:val="24"/>
    </w:rPr>
  </w:style>
  <w:style w:type="paragraph" w:customStyle="1" w:styleId="WW-Corpsdetexte3">
    <w:name w:val="WW-Corps de texte 3"/>
    <w:basedOn w:val="Normal"/>
    <w:rsid w:val="00084B82"/>
    <w:pPr>
      <w:tabs>
        <w:tab w:val="left" w:pos="284"/>
      </w:tabs>
      <w:suppressAutoHyphens/>
    </w:pPr>
    <w:rPr>
      <w:rFonts w:ascii="Arial" w:hAnsi="Arial"/>
      <w:szCs w:val="20"/>
    </w:rPr>
  </w:style>
  <w:style w:type="paragraph" w:styleId="Listepuces">
    <w:name w:val="List Bullet"/>
    <w:basedOn w:val="Normal"/>
    <w:autoRedefine/>
    <w:rsid w:val="007C6D9E"/>
    <w:pPr>
      <w:tabs>
        <w:tab w:val="num" w:pos="360"/>
      </w:tabs>
      <w:ind w:left="360" w:hanging="360"/>
    </w:pPr>
    <w:rPr>
      <w:rFonts w:ascii="Times New Roman" w:hAnsi="Times New Roman"/>
      <w:szCs w:val="20"/>
    </w:rPr>
  </w:style>
  <w:style w:type="paragraph" w:styleId="Retraitcorpsdetexte2">
    <w:name w:val="Body Text Indent 2"/>
    <w:basedOn w:val="Normal"/>
    <w:rsid w:val="007C6D9E"/>
    <w:pPr>
      <w:ind w:left="708" w:firstLine="708"/>
    </w:pPr>
    <w:rPr>
      <w:rFonts w:ascii="Times New Roman" w:hAnsi="Times New Roman"/>
      <w:b/>
      <w:sz w:val="22"/>
      <w:szCs w:val="20"/>
    </w:rPr>
  </w:style>
  <w:style w:type="paragraph" w:customStyle="1" w:styleId="Car">
    <w:name w:val=" Car"/>
    <w:basedOn w:val="Explorateurdedocuments"/>
    <w:autoRedefine/>
    <w:rsid w:val="007C6D9E"/>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055231"/>
    <w:rPr>
      <w:b/>
      <w:bCs/>
    </w:rPr>
  </w:style>
  <w:style w:type="paragraph" w:customStyle="1" w:styleId="CharCharCarCharChar">
    <w:name w:val=" Char Char Car Char Char"/>
    <w:basedOn w:val="Normal"/>
    <w:rsid w:val="004A38A3"/>
    <w:pPr>
      <w:spacing w:after="160" w:line="240" w:lineRule="exact"/>
    </w:pPr>
    <w:rPr>
      <w:rFonts w:ascii="Verdana" w:hAnsi="Verdana"/>
      <w:szCs w:val="20"/>
      <w:lang w:val="en-US" w:eastAsia="en-US"/>
    </w:rPr>
  </w:style>
  <w:style w:type="character" w:customStyle="1" w:styleId="Textenum1Car">
    <w:name w:val="Texte_énum_1 Car"/>
    <w:link w:val="Textenum1"/>
    <w:rsid w:val="008D4F20"/>
    <w:rPr>
      <w:rFonts w:ascii="Helvetica 55 Roman" w:hAnsi="Helvetica 55 Roman" w:cs="Arial"/>
      <w:lang w:val="fr-FR" w:eastAsia="fr-FR" w:bidi="ar-SA"/>
    </w:rPr>
  </w:style>
  <w:style w:type="paragraph" w:customStyle="1" w:styleId="Textenum">
    <w:name w:val="Texte énum"/>
    <w:basedOn w:val="Normal"/>
    <w:rsid w:val="001F62C6"/>
    <w:pPr>
      <w:numPr>
        <w:numId w:val="5"/>
      </w:numPr>
      <w:jc w:val="both"/>
    </w:pPr>
    <w:rPr>
      <w:rFonts w:ascii="Times New Roman" w:hAnsi="Times New Roman"/>
      <w:sz w:val="22"/>
      <w:szCs w:val="20"/>
    </w:rPr>
  </w:style>
  <w:style w:type="paragraph" w:customStyle="1" w:styleId="Caracter">
    <w:name w:val=" Caracter"/>
    <w:basedOn w:val="Normal"/>
    <w:rsid w:val="002554E9"/>
    <w:pPr>
      <w:spacing w:after="160" w:line="240" w:lineRule="exact"/>
      <w:jc w:val="both"/>
    </w:pPr>
    <w:rPr>
      <w:rFonts w:ascii="Verdana" w:hAnsi="Verdana"/>
      <w:sz w:val="24"/>
      <w:lang w:val="nl-BE" w:eastAsia="en-US"/>
    </w:rPr>
  </w:style>
  <w:style w:type="paragraph" w:customStyle="1" w:styleId="CharChar1CharCharCharCharCharCharCharCharCharCharCharCharCharCharCharCharCharChar">
    <w:name w:val=" Char Char1 Char Char Char Char Char Char Char Char Char Char Char Char Char Char Char Char Char Char"/>
    <w:basedOn w:val="Normal"/>
    <w:semiHidden/>
    <w:rsid w:val="001E0320"/>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paragraph" w:customStyle="1" w:styleId="CharCharCarCarCharCharChar1">
    <w:name w:val="Char Char Car Car Char Char Char1"/>
    <w:basedOn w:val="Normal"/>
    <w:link w:val="Policepardfaut"/>
    <w:rsid w:val="00B371C2"/>
    <w:pPr>
      <w:spacing w:after="160" w:line="240" w:lineRule="exact"/>
    </w:pPr>
    <w:rPr>
      <w:rFonts w:ascii="Verdana" w:hAnsi="Verdana"/>
      <w:szCs w:val="20"/>
      <w:lang w:val="en-US" w:eastAsia="en-US"/>
    </w:rPr>
  </w:style>
  <w:style w:type="paragraph" w:customStyle="1" w:styleId="DefaultParagraphFontParaCharCarCarCarCarCharCarCharCarChar">
    <w:name w:val="Default Paragraph Font Para Char Car Car Car Car Char Car Char Car Char"/>
    <w:basedOn w:val="Normal"/>
    <w:rsid w:val="005F4482"/>
    <w:pPr>
      <w:spacing w:after="160" w:line="240" w:lineRule="exact"/>
    </w:pPr>
    <w:rPr>
      <w:rFonts w:ascii="Verdana" w:hAnsi="Verdana"/>
      <w:sz w:val="24"/>
      <w:lang w:val="en-US" w:eastAsia="en-US"/>
    </w:rPr>
  </w:style>
  <w:style w:type="paragraph" w:customStyle="1" w:styleId="CharCharCarCarCharCharChar10">
    <w:name w:val=" Char Char Car Car Char Char Char1"/>
    <w:basedOn w:val="Normal"/>
    <w:rsid w:val="00A07B1F"/>
    <w:pPr>
      <w:spacing w:after="160" w:line="240" w:lineRule="exact"/>
    </w:pPr>
    <w:rPr>
      <w:rFonts w:ascii="Verdana" w:hAnsi="Verdana"/>
      <w:szCs w:val="20"/>
      <w:lang w:val="en-US" w:eastAsia="en-US"/>
    </w:rPr>
  </w:style>
  <w:style w:type="paragraph" w:styleId="Paragraphedeliste">
    <w:name w:val="List Paragraph"/>
    <w:basedOn w:val="Normal"/>
    <w:uiPriority w:val="99"/>
    <w:qFormat/>
    <w:rsid w:val="0076636B"/>
    <w:pPr>
      <w:ind w:left="720"/>
      <w:contextualSpacing/>
    </w:pPr>
    <w:rPr>
      <w:rFonts w:ascii="Times New Roman" w:hAnsi="Times New Roman"/>
      <w:sz w:val="24"/>
    </w:rPr>
  </w:style>
  <w:style w:type="character" w:customStyle="1" w:styleId="PieddepageCar">
    <w:name w:val="Pied de page Car"/>
    <w:link w:val="Pieddepage"/>
    <w:uiPriority w:val="99"/>
    <w:rsid w:val="007B746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539664271">
      <w:bodyDiv w:val="1"/>
      <w:marLeft w:val="0"/>
      <w:marRight w:val="0"/>
      <w:marTop w:val="0"/>
      <w:marBottom w:val="0"/>
      <w:divBdr>
        <w:top w:val="none" w:sz="0" w:space="0" w:color="auto"/>
        <w:left w:val="none" w:sz="0" w:space="0" w:color="auto"/>
        <w:bottom w:val="none" w:sz="0" w:space="0" w:color="auto"/>
        <w:right w:val="none" w:sz="0" w:space="0" w:color="auto"/>
      </w:divBdr>
      <w:divsChild>
        <w:div w:id="1824275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2393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CHALUMET Patrick OWF/DSO</cp:lastModifiedBy>
  <cp:revision>2</cp:revision>
  <cp:lastPrinted>2015-04-14T14:03:00Z</cp:lastPrinted>
  <dcterms:created xsi:type="dcterms:W3CDTF">2021-07-13T06:25:00Z</dcterms:created>
  <dcterms:modified xsi:type="dcterms:W3CDTF">2021-07-13T06:25:00Z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